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b/>
          <w:bCs/>
          <w:i w:val="0"/>
          <w:iCs w:val="0"/>
          <w:caps w:val="0"/>
          <w:spacing w:val="0"/>
          <w:sz w:val="27"/>
          <w:szCs w:val="27"/>
        </w:rPr>
      </w:pPr>
      <w:r>
        <w:rPr>
          <w:rFonts w:hint="default" w:ascii="Segoe UI" w:hAnsi="Segoe UI" w:eastAsia="Segoe UI" w:cs="Segoe UI"/>
          <w:b/>
          <w:bCs/>
          <w:i w:val="0"/>
          <w:iCs w:val="0"/>
          <w:caps w:val="0"/>
          <w:spacing w:val="0"/>
          <w:sz w:val="27"/>
          <w:szCs w:val="27"/>
          <w:bdr w:val="none" w:color="auto" w:sz="0" w:space="0"/>
        </w:rPr>
        <w:t>合作协议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本协议于____年____月____日由以下两方签订：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甲方</w:t>
      </w:r>
      <w:r>
        <w:rPr>
          <w:rFonts w:hint="default" w:ascii="Segoe UI" w:hAnsi="Segoe UI" w:eastAsia="Segoe UI" w:cs="Segoe UI"/>
          <w:i w:val="0"/>
          <w:iCs w:val="0"/>
          <w:caps w:val="0"/>
          <w:color w:val="05073B"/>
          <w:spacing w:val="0"/>
          <w:sz w:val="22"/>
          <w:szCs w:val="22"/>
          <w:bdr w:val="none" w:color="auto" w:sz="0" w:space="0"/>
        </w:rPr>
        <w:t>：</w:t>
      </w:r>
      <w:r>
        <w:rPr>
          <w:rStyle w:val="7"/>
          <w:rFonts w:hint="default" w:ascii="Segoe UI" w:hAnsi="Segoe UI" w:eastAsia="Segoe UI" w:cs="Segoe UI"/>
          <w:b/>
          <w:bCs/>
          <w:i w:val="0"/>
          <w:iCs w:val="0"/>
          <w:caps w:val="0"/>
          <w:color w:val="05073B"/>
          <w:spacing w:val="0"/>
          <w:sz w:val="22"/>
          <w:szCs w:val="22"/>
          <w:bdr w:val="none" w:color="auto" w:sz="0" w:space="0"/>
        </w:rPr>
        <w:t>集团有限公司（以下简称“集团公司”）</w:t>
      </w:r>
      <w:r>
        <w:rPr>
          <w:rStyle w:val="7"/>
          <w:rFonts w:hint="default" w:ascii="Segoe UI" w:hAnsi="Segoe UI" w:eastAsia="Segoe UI" w:cs="Segoe UI"/>
          <w:b/>
          <w:bCs/>
          <w:i w:val="0"/>
          <w:iCs w:val="0"/>
          <w:caps w:val="0"/>
          <w:color w:val="05073B"/>
          <w:spacing w:val="0"/>
          <w:sz w:val="22"/>
          <w:szCs w:val="22"/>
          <w:bdr w:val="none" w:color="auto" w:sz="0" w:space="0"/>
        </w:rPr>
        <w:br w:type="textWrapping"/>
      </w:r>
      <w:r>
        <w:rPr>
          <w:rStyle w:val="7"/>
          <w:rFonts w:hint="default" w:ascii="Segoe UI" w:hAnsi="Segoe UI" w:eastAsia="Segoe UI" w:cs="Segoe UI"/>
          <w:b/>
          <w:bCs/>
          <w:i w:val="0"/>
          <w:iCs w:val="0"/>
          <w:caps w:val="0"/>
          <w:color w:val="05073B"/>
          <w:spacing w:val="0"/>
          <w:sz w:val="22"/>
          <w:szCs w:val="22"/>
          <w:bdr w:val="none" w:color="auto" w:sz="0" w:space="0"/>
        </w:rPr>
        <w:t>地址：</w:t>
      </w:r>
      <w:r>
        <w:rPr>
          <w:rFonts w:hint="default" w:ascii="Segoe UI" w:hAnsi="Segoe UI" w:eastAsia="Segoe UI" w:cs="Segoe UI"/>
          <w:i w:val="0"/>
          <w:iCs w:val="0"/>
          <w:caps w:val="0"/>
          <w:color w:val="05073B"/>
          <w:spacing w:val="0"/>
          <w:sz w:val="22"/>
          <w:szCs w:val="22"/>
          <w:bdr w:val="none" w:color="auto" w:sz="0" w:space="0"/>
        </w:rPr>
        <w:t>_____________________________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乙方</w:t>
      </w:r>
      <w:r>
        <w:rPr>
          <w:rFonts w:hint="default" w:ascii="Segoe UI" w:hAnsi="Segoe UI" w:eastAsia="Segoe UI" w:cs="Segoe UI"/>
          <w:i w:val="0"/>
          <w:iCs w:val="0"/>
          <w:caps w:val="0"/>
          <w:color w:val="05073B"/>
          <w:spacing w:val="0"/>
          <w:sz w:val="22"/>
          <w:szCs w:val="22"/>
          <w:bdr w:val="none" w:color="auto" w:sz="0" w:space="0"/>
        </w:rPr>
        <w:t>：</w:t>
      </w:r>
      <w:r>
        <w:rPr>
          <w:rStyle w:val="7"/>
          <w:rFonts w:hint="default" w:ascii="Segoe UI" w:hAnsi="Segoe UI" w:eastAsia="Segoe UI" w:cs="Segoe UI"/>
          <w:b/>
          <w:bCs/>
          <w:i w:val="0"/>
          <w:iCs w:val="0"/>
          <w:caps w:val="0"/>
          <w:color w:val="05073B"/>
          <w:spacing w:val="0"/>
          <w:sz w:val="22"/>
          <w:szCs w:val="22"/>
          <w:bdr w:val="none" w:color="auto" w:sz="0" w:space="0"/>
        </w:rPr>
        <w:t>股份有限公司（以下简称“股份公司”）</w:t>
      </w:r>
      <w:r>
        <w:rPr>
          <w:rStyle w:val="7"/>
          <w:rFonts w:hint="default" w:ascii="Segoe UI" w:hAnsi="Segoe UI" w:eastAsia="Segoe UI" w:cs="Segoe UI"/>
          <w:b/>
          <w:bCs/>
          <w:i w:val="0"/>
          <w:iCs w:val="0"/>
          <w:caps w:val="0"/>
          <w:color w:val="05073B"/>
          <w:spacing w:val="0"/>
          <w:sz w:val="22"/>
          <w:szCs w:val="22"/>
          <w:bdr w:val="none" w:color="auto" w:sz="0" w:space="0"/>
        </w:rPr>
        <w:br w:type="textWrapping"/>
      </w:r>
      <w:r>
        <w:rPr>
          <w:rStyle w:val="7"/>
          <w:rFonts w:hint="default" w:ascii="Segoe UI" w:hAnsi="Segoe UI" w:eastAsia="Segoe UI" w:cs="Segoe UI"/>
          <w:b/>
          <w:bCs/>
          <w:i w:val="0"/>
          <w:iCs w:val="0"/>
          <w:caps w:val="0"/>
          <w:color w:val="05073B"/>
          <w:spacing w:val="0"/>
          <w:sz w:val="22"/>
          <w:szCs w:val="22"/>
          <w:bdr w:val="none" w:color="auto" w:sz="0" w:space="0"/>
        </w:rPr>
        <w:t>地址：</w:t>
      </w:r>
      <w:r>
        <w:rPr>
          <w:rFonts w:hint="default" w:ascii="Segoe UI" w:hAnsi="Segoe UI" w:eastAsia="Segoe UI" w:cs="Segoe UI"/>
          <w:i w:val="0"/>
          <w:iCs w:val="0"/>
          <w:caps w:val="0"/>
          <w:color w:val="05073B"/>
          <w:spacing w:val="0"/>
          <w:sz w:val="22"/>
          <w:szCs w:val="22"/>
          <w:bdr w:val="none" w:color="auto" w:sz="0" w:space="0"/>
        </w:rPr>
        <w:t>_____________________________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法定代表人：__________________________________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b/>
          <w:bCs/>
          <w:i w:val="0"/>
          <w:iCs w:val="0"/>
          <w:caps w:val="0"/>
          <w:spacing w:val="0"/>
          <w:sz w:val="22"/>
          <w:szCs w:val="22"/>
        </w:rPr>
      </w:pPr>
      <w:r>
        <w:rPr>
          <w:rFonts w:hint="default" w:ascii="Segoe UI" w:hAnsi="Segoe UI" w:eastAsia="Segoe UI" w:cs="Segoe UI"/>
          <w:b/>
          <w:bCs/>
          <w:i w:val="0"/>
          <w:iCs w:val="0"/>
          <w:caps w:val="0"/>
          <w:spacing w:val="0"/>
          <w:sz w:val="22"/>
          <w:szCs w:val="22"/>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第一条</w:t>
      </w:r>
      <w:r>
        <w:rPr>
          <w:rFonts w:hint="default" w:ascii="Segoe UI" w:hAnsi="Segoe UI" w:eastAsia="Segoe UI" w:cs="Segoe UI"/>
          <w:i w:val="0"/>
          <w:iCs w:val="0"/>
          <w:caps w:val="0"/>
          <w:color w:val="05073B"/>
          <w:spacing w:val="0"/>
          <w:sz w:val="22"/>
          <w:szCs w:val="22"/>
          <w:bdr w:val="none" w:color="auto" w:sz="0" w:space="0"/>
        </w:rPr>
        <w:t> 本协议旨在确立股份公司成立后，集团公司与股份公司在经济往来中的基本原则，为双方关系提供规范依据，并对外披露双方的关联交易情况，促进股份公司运作的规范化。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第二条</w:t>
      </w:r>
      <w:r>
        <w:rPr>
          <w:rFonts w:hint="default" w:ascii="Segoe UI" w:hAnsi="Segoe UI" w:eastAsia="Segoe UI" w:cs="Segoe UI"/>
          <w:i w:val="0"/>
          <w:iCs w:val="0"/>
          <w:caps w:val="0"/>
          <w:color w:val="05073B"/>
          <w:spacing w:val="0"/>
          <w:sz w:val="22"/>
          <w:szCs w:val="22"/>
          <w:bdr w:val="none" w:color="auto" w:sz="0" w:space="0"/>
        </w:rPr>
        <w:t> 鉴于集团公司作为股份公司的主要发起人，拥有完善的生产、生活服务系统和设施；而股份公司具备技术和管理等方面的优势，双方一致认为有必要继续维护和发展彼此间的交易和服务关系。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第三条</w:t>
      </w:r>
      <w:r>
        <w:rPr>
          <w:rFonts w:hint="default" w:ascii="Segoe UI" w:hAnsi="Segoe UI" w:eastAsia="Segoe UI" w:cs="Segoe UI"/>
          <w:i w:val="0"/>
          <w:iCs w:val="0"/>
          <w:caps w:val="0"/>
          <w:color w:val="05073B"/>
          <w:spacing w:val="0"/>
          <w:sz w:val="22"/>
          <w:szCs w:val="22"/>
          <w:bdr w:val="none" w:color="auto" w:sz="0" w:space="0"/>
        </w:rPr>
        <w:t> 本协议所指交易和服务项目，包括但不限于第二章中列明的项目，以及双方历史上形成的其他交易和服务关系。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第四条</w:t>
      </w:r>
      <w:r>
        <w:rPr>
          <w:rFonts w:hint="default" w:ascii="Segoe UI" w:hAnsi="Segoe UI" w:eastAsia="Segoe UI" w:cs="Segoe UI"/>
          <w:i w:val="0"/>
          <w:iCs w:val="0"/>
          <w:caps w:val="0"/>
          <w:color w:val="05073B"/>
          <w:spacing w:val="0"/>
          <w:sz w:val="22"/>
          <w:szCs w:val="22"/>
          <w:bdr w:val="none" w:color="auto" w:sz="0" w:space="0"/>
        </w:rPr>
        <w:t> 双方应秉承平等自愿、互惠互利、诚实守信的原则，依照《中华人民共和国民法典》和《中华人民共和国合同法》等相关法律法规处理合作关系。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第五条</w:t>
      </w:r>
      <w:r>
        <w:rPr>
          <w:rFonts w:hint="default" w:ascii="Segoe UI" w:hAnsi="Segoe UI" w:eastAsia="Segoe UI" w:cs="Segoe UI"/>
          <w:i w:val="0"/>
          <w:iCs w:val="0"/>
          <w:caps w:val="0"/>
          <w:color w:val="05073B"/>
          <w:spacing w:val="0"/>
          <w:sz w:val="22"/>
          <w:szCs w:val="22"/>
          <w:bdr w:val="none" w:color="auto" w:sz="0" w:space="0"/>
        </w:rPr>
        <w:t> 在本协议框架下，双方可就同类交易或服务事项签订单项协议，并在必要时就特定交易或服务事项签订一次性具体合同。具体合同应以单项协议和一揽子协议为依据。所有协议和合同的签订均须遵守相关法律法规和双方公司章程，并报经相关部门批准后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第六条</w:t>
      </w:r>
      <w:r>
        <w:rPr>
          <w:rFonts w:hint="default" w:ascii="Segoe UI" w:hAnsi="Segoe UI" w:eastAsia="Segoe UI" w:cs="Segoe UI"/>
          <w:i w:val="0"/>
          <w:iCs w:val="0"/>
          <w:caps w:val="0"/>
          <w:color w:val="05073B"/>
          <w:spacing w:val="0"/>
          <w:sz w:val="22"/>
          <w:szCs w:val="22"/>
          <w:bdr w:val="none" w:color="auto" w:sz="0" w:space="0"/>
        </w:rPr>
        <w:t> 供应商应确保提供的商品或服务在数量和质量上符合双方协议或合同规定。如不符合规定，供应商应根据需求方的要求采取补救措施，包括补足数量、修理、更换、重做、重新提供或退货，并赔偿由此给需求方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第七条</w:t>
      </w:r>
      <w:r>
        <w:rPr>
          <w:rFonts w:hint="default" w:ascii="Segoe UI" w:hAnsi="Segoe UI" w:eastAsia="Segoe UI" w:cs="Segoe UI"/>
          <w:i w:val="0"/>
          <w:iCs w:val="0"/>
          <w:caps w:val="0"/>
          <w:color w:val="05073B"/>
          <w:spacing w:val="0"/>
          <w:sz w:val="22"/>
          <w:szCs w:val="22"/>
          <w:bdr w:val="none" w:color="auto" w:sz="0" w:space="0"/>
        </w:rPr>
        <w:t> 交易和服务的质量标准应遵循以下原则：首先按双方明确约定的标准执行；无明确约定的，按国家标准执行；无国家标准的，按行业标准执行；无行业标准的，按当地一般标准执行。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第八条</w:t>
      </w:r>
      <w:r>
        <w:rPr>
          <w:rFonts w:hint="default" w:ascii="Segoe UI" w:hAnsi="Segoe UI" w:eastAsia="Segoe UI" w:cs="Segoe UI"/>
          <w:i w:val="0"/>
          <w:iCs w:val="0"/>
          <w:caps w:val="0"/>
          <w:color w:val="05073B"/>
          <w:spacing w:val="0"/>
          <w:sz w:val="22"/>
          <w:szCs w:val="22"/>
          <w:bdr w:val="none" w:color="auto" w:sz="0" w:space="0"/>
        </w:rPr>
        <w:t> 交易和服务的价格应在合法合理的基础上，经双方协商确定。如未明确约定价格，应按国家标准执行；无国家标准的，按当地市场价格执行。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第九条</w:t>
      </w:r>
      <w:r>
        <w:rPr>
          <w:rFonts w:hint="default" w:ascii="Segoe UI" w:hAnsi="Segoe UI" w:eastAsia="Segoe UI" w:cs="Segoe UI"/>
          <w:i w:val="0"/>
          <w:iCs w:val="0"/>
          <w:caps w:val="0"/>
          <w:color w:val="05073B"/>
          <w:spacing w:val="0"/>
          <w:sz w:val="22"/>
          <w:szCs w:val="22"/>
          <w:bdr w:val="none" w:color="auto" w:sz="0" w:space="0"/>
        </w:rPr>
        <w:t> 交易和服务费用的支付一般采取月末、季末或年末结算的方式，特殊项目可即时结清。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第十条</w:t>
      </w:r>
      <w:r>
        <w:rPr>
          <w:rFonts w:hint="default" w:ascii="Segoe UI" w:hAnsi="Segoe UI" w:eastAsia="Segoe UI" w:cs="Segoe UI"/>
          <w:i w:val="0"/>
          <w:iCs w:val="0"/>
          <w:caps w:val="0"/>
          <w:color w:val="05073B"/>
          <w:spacing w:val="0"/>
          <w:sz w:val="22"/>
          <w:szCs w:val="22"/>
          <w:bdr w:val="none" w:color="auto" w:sz="0" w:space="0"/>
        </w:rPr>
        <w:t> 双方交易和服务关系的期限原则上为长期，至少为十年。但在以下情况下，期限可减少或提前终止：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78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经双方协商一致；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因个别项目的特殊性而必须减少或提前终止；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因不可抗力致使合同无法履行；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一方绝大部分合同义务未履行；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其他法定的合同解除或终止事由出现。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任何一方单方面减少或提前终止协议，应提前三个月通知对方，否则应赔偿由此给对方造成的损失。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第十一条</w:t>
      </w:r>
      <w:r>
        <w:rPr>
          <w:rFonts w:hint="default" w:ascii="Segoe UI" w:hAnsi="Segoe UI" w:eastAsia="Segoe UI" w:cs="Segoe UI"/>
          <w:i w:val="0"/>
          <w:iCs w:val="0"/>
          <w:caps w:val="0"/>
          <w:color w:val="05073B"/>
          <w:spacing w:val="0"/>
          <w:sz w:val="22"/>
          <w:szCs w:val="22"/>
          <w:bdr w:val="none" w:color="auto" w:sz="0" w:space="0"/>
        </w:rPr>
        <w:t> 本协议的解释权归双方共同所有，并应参照《中华人民共和国民法典》、《中华人民共和国合同法》及相关法律法规。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第十二条</w:t>
      </w:r>
      <w:r>
        <w:rPr>
          <w:rFonts w:hint="default" w:ascii="Segoe UI" w:hAnsi="Segoe UI" w:eastAsia="Segoe UI" w:cs="Segoe UI"/>
          <w:i w:val="0"/>
          <w:iCs w:val="0"/>
          <w:caps w:val="0"/>
          <w:color w:val="05073B"/>
          <w:spacing w:val="0"/>
          <w:sz w:val="22"/>
          <w:szCs w:val="22"/>
          <w:bdr w:val="none" w:color="auto" w:sz="0" w:space="0"/>
        </w:rPr>
        <w:t> 本协议自双方签字盖章之日起生效，一式____份，甲乙双方各执一份，其余____份报送相关主管部门备案。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b/>
          <w:bCs/>
          <w:i w:val="0"/>
          <w:iCs w:val="0"/>
          <w:caps w:val="0"/>
          <w:spacing w:val="0"/>
          <w:sz w:val="22"/>
          <w:szCs w:val="22"/>
        </w:rPr>
      </w:pPr>
      <w:r>
        <w:rPr>
          <w:rFonts w:hint="default" w:ascii="Segoe UI" w:hAnsi="Segoe UI" w:eastAsia="Segoe UI" w:cs="Segoe UI"/>
          <w:b/>
          <w:bCs/>
          <w:i w:val="0"/>
          <w:iCs w:val="0"/>
          <w:caps w:val="0"/>
          <w:spacing w:val="0"/>
          <w:sz w:val="22"/>
          <w:szCs w:val="22"/>
          <w:bdr w:val="none" w:color="auto" w:sz="0" w:space="0"/>
        </w:rPr>
        <w:t>第二章 交易与服务项目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第十三条 房屋租赁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集团公司应根据股份公司的需求，提供办公及其他用途的房屋租赁服务。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集团公司应确保提供的房屋符合一般使用条件，并负责维修工作。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集团公司应保障房屋的水电供应。</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股份公司应合理使用房屋，对非正常使用造成的损坏应负责赔偿。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第十四条 水、电供应</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集团公司应确保其水电供应单位向股份公司提供工作、生产和生活所需的水电服务。</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供应的水电应符合国家标准和行业规范，确保质量和供应的稳定性。</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78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股份公司应按时支付水电费用，并合理使用水电资源。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[此处可根据实际需求继续添加其他交易和服务项目]</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以上内容对原协议进行了适当的修改和润色，旨在使协议更加清晰、准确和易于理解。具体条款应根据双方实际需求和协商结果进行调整。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607CB"/>
    <w:multiLevelType w:val="multilevel"/>
    <w:tmpl w:val="A2B607CB"/>
    <w:lvl w:ilvl="0" w:tentative="0">
      <w:start w:val="1"/>
      <w:numFmt w:val="decimal"/>
      <w:lvlText w:val="%1."/>
      <w:lvlJc w:val="left"/>
      <w:pPr>
        <w:tabs>
          <w:tab w:val="left" w:pos="720"/>
        </w:tabs>
        <w:ind w:left="1500" w:hanging="360"/>
      </w:pPr>
      <w:rPr>
        <w:sz w:val="24"/>
        <w:szCs w:val="24"/>
      </w:rPr>
    </w:lvl>
    <w:lvl w:ilvl="1" w:tentative="0">
      <w:start w:val="1"/>
      <w:numFmt w:val="decimal"/>
      <w:lvlText w:val="%2."/>
      <w:lvlJc w:val="left"/>
      <w:pPr>
        <w:tabs>
          <w:tab w:val="left" w:pos="1440"/>
        </w:tabs>
        <w:ind w:left="2220" w:hanging="360"/>
      </w:pPr>
      <w:rPr>
        <w:sz w:val="24"/>
        <w:szCs w:val="24"/>
      </w:rPr>
    </w:lvl>
    <w:lvl w:ilvl="2" w:tentative="0">
      <w:start w:val="1"/>
      <w:numFmt w:val="decimal"/>
      <w:lvlText w:val="%3."/>
      <w:lvlJc w:val="left"/>
      <w:pPr>
        <w:tabs>
          <w:tab w:val="left" w:pos="2160"/>
        </w:tabs>
        <w:ind w:left="2940" w:hanging="360"/>
      </w:pPr>
      <w:rPr>
        <w:sz w:val="24"/>
        <w:szCs w:val="24"/>
      </w:rPr>
    </w:lvl>
    <w:lvl w:ilvl="3" w:tentative="0">
      <w:start w:val="1"/>
      <w:numFmt w:val="decimal"/>
      <w:lvlText w:val="%4."/>
      <w:lvlJc w:val="left"/>
      <w:pPr>
        <w:tabs>
          <w:tab w:val="left" w:pos="2517"/>
        </w:tabs>
        <w:ind w:left="3660" w:hanging="360"/>
      </w:pPr>
      <w:rPr>
        <w:sz w:val="24"/>
        <w:szCs w:val="24"/>
      </w:rPr>
    </w:lvl>
    <w:lvl w:ilvl="4" w:tentative="0">
      <w:start w:val="1"/>
      <w:numFmt w:val="decimal"/>
      <w:lvlText w:val="%5."/>
      <w:lvlJc w:val="left"/>
      <w:pPr>
        <w:tabs>
          <w:tab w:val="left" w:pos="3238"/>
        </w:tabs>
        <w:ind w:left="4380" w:hanging="360"/>
      </w:pPr>
      <w:rPr>
        <w:sz w:val="24"/>
        <w:szCs w:val="24"/>
      </w:rPr>
    </w:lvl>
    <w:lvl w:ilvl="5" w:tentative="0">
      <w:start w:val="1"/>
      <w:numFmt w:val="decimal"/>
      <w:lvlText w:val="%6."/>
      <w:lvlJc w:val="left"/>
      <w:pPr>
        <w:tabs>
          <w:tab w:val="left" w:pos="3958"/>
        </w:tabs>
        <w:ind w:left="5100" w:hanging="360"/>
      </w:pPr>
      <w:rPr>
        <w:sz w:val="24"/>
        <w:szCs w:val="24"/>
      </w:rPr>
    </w:lvl>
    <w:lvl w:ilvl="6" w:tentative="0">
      <w:start w:val="1"/>
      <w:numFmt w:val="decimal"/>
      <w:lvlText w:val="%7."/>
      <w:lvlJc w:val="left"/>
      <w:pPr>
        <w:tabs>
          <w:tab w:val="left" w:pos="4678"/>
        </w:tabs>
        <w:ind w:left="5820" w:hanging="360"/>
      </w:pPr>
      <w:rPr>
        <w:sz w:val="24"/>
        <w:szCs w:val="24"/>
      </w:rPr>
    </w:lvl>
    <w:lvl w:ilvl="7" w:tentative="0">
      <w:start w:val="1"/>
      <w:numFmt w:val="decimal"/>
      <w:lvlText w:val="%8."/>
      <w:lvlJc w:val="left"/>
      <w:pPr>
        <w:tabs>
          <w:tab w:val="left" w:pos="5398"/>
        </w:tabs>
        <w:ind w:left="6540" w:hanging="360"/>
      </w:pPr>
      <w:rPr>
        <w:sz w:val="24"/>
        <w:szCs w:val="24"/>
      </w:rPr>
    </w:lvl>
    <w:lvl w:ilvl="8" w:tentative="0">
      <w:start w:val="1"/>
      <w:numFmt w:val="decimal"/>
      <w:lvlText w:val="%9."/>
      <w:lvlJc w:val="left"/>
      <w:pPr>
        <w:tabs>
          <w:tab w:val="left" w:pos="6118"/>
        </w:tabs>
        <w:ind w:left="7260" w:hanging="360"/>
      </w:pPr>
      <w:rPr>
        <w:sz w:val="24"/>
        <w:szCs w:val="24"/>
      </w:rPr>
    </w:lvl>
  </w:abstractNum>
  <w:abstractNum w:abstractNumId="1">
    <w:nsid w:val="4FE9292F"/>
    <w:multiLevelType w:val="multilevel"/>
    <w:tmpl w:val="4FE9292F"/>
    <w:lvl w:ilvl="0" w:tentative="0">
      <w:start w:val="1"/>
      <w:numFmt w:val="decimal"/>
      <w:lvlText w:val="%1."/>
      <w:lvlJc w:val="left"/>
      <w:pPr>
        <w:tabs>
          <w:tab w:val="left" w:pos="720"/>
        </w:tabs>
        <w:ind w:left="1500" w:hanging="360"/>
      </w:pPr>
      <w:rPr>
        <w:sz w:val="24"/>
        <w:szCs w:val="24"/>
      </w:rPr>
    </w:lvl>
    <w:lvl w:ilvl="1" w:tentative="0">
      <w:start w:val="1"/>
      <w:numFmt w:val="decimal"/>
      <w:lvlText w:val="%2."/>
      <w:lvlJc w:val="left"/>
      <w:pPr>
        <w:tabs>
          <w:tab w:val="left" w:pos="1440"/>
        </w:tabs>
        <w:ind w:left="2220" w:hanging="360"/>
      </w:pPr>
      <w:rPr>
        <w:sz w:val="24"/>
        <w:szCs w:val="24"/>
      </w:rPr>
    </w:lvl>
    <w:lvl w:ilvl="2" w:tentative="0">
      <w:start w:val="1"/>
      <w:numFmt w:val="decimal"/>
      <w:lvlText w:val="%3."/>
      <w:lvlJc w:val="left"/>
      <w:pPr>
        <w:tabs>
          <w:tab w:val="left" w:pos="2160"/>
        </w:tabs>
        <w:ind w:left="2940" w:hanging="360"/>
      </w:pPr>
      <w:rPr>
        <w:sz w:val="24"/>
        <w:szCs w:val="24"/>
      </w:rPr>
    </w:lvl>
    <w:lvl w:ilvl="3" w:tentative="0">
      <w:start w:val="1"/>
      <w:numFmt w:val="decimal"/>
      <w:lvlText w:val="%4."/>
      <w:lvlJc w:val="left"/>
      <w:pPr>
        <w:tabs>
          <w:tab w:val="left" w:pos="2517"/>
        </w:tabs>
        <w:ind w:left="3660" w:hanging="360"/>
      </w:pPr>
      <w:rPr>
        <w:sz w:val="24"/>
        <w:szCs w:val="24"/>
      </w:rPr>
    </w:lvl>
    <w:lvl w:ilvl="4" w:tentative="0">
      <w:start w:val="1"/>
      <w:numFmt w:val="decimal"/>
      <w:lvlText w:val="%5."/>
      <w:lvlJc w:val="left"/>
      <w:pPr>
        <w:tabs>
          <w:tab w:val="left" w:pos="3238"/>
        </w:tabs>
        <w:ind w:left="4380" w:hanging="360"/>
      </w:pPr>
      <w:rPr>
        <w:sz w:val="24"/>
        <w:szCs w:val="24"/>
      </w:rPr>
    </w:lvl>
    <w:lvl w:ilvl="5" w:tentative="0">
      <w:start w:val="1"/>
      <w:numFmt w:val="decimal"/>
      <w:lvlText w:val="%6."/>
      <w:lvlJc w:val="left"/>
      <w:pPr>
        <w:tabs>
          <w:tab w:val="left" w:pos="3958"/>
        </w:tabs>
        <w:ind w:left="5100" w:hanging="360"/>
      </w:pPr>
      <w:rPr>
        <w:sz w:val="24"/>
        <w:szCs w:val="24"/>
      </w:rPr>
    </w:lvl>
    <w:lvl w:ilvl="6" w:tentative="0">
      <w:start w:val="1"/>
      <w:numFmt w:val="decimal"/>
      <w:lvlText w:val="%7."/>
      <w:lvlJc w:val="left"/>
      <w:pPr>
        <w:tabs>
          <w:tab w:val="left" w:pos="4678"/>
        </w:tabs>
        <w:ind w:left="5820" w:hanging="360"/>
      </w:pPr>
      <w:rPr>
        <w:sz w:val="24"/>
        <w:szCs w:val="24"/>
      </w:rPr>
    </w:lvl>
    <w:lvl w:ilvl="7" w:tentative="0">
      <w:start w:val="1"/>
      <w:numFmt w:val="decimal"/>
      <w:lvlText w:val="%8."/>
      <w:lvlJc w:val="left"/>
      <w:pPr>
        <w:tabs>
          <w:tab w:val="left" w:pos="5398"/>
        </w:tabs>
        <w:ind w:left="6540" w:hanging="360"/>
      </w:pPr>
      <w:rPr>
        <w:sz w:val="24"/>
        <w:szCs w:val="24"/>
      </w:rPr>
    </w:lvl>
    <w:lvl w:ilvl="8" w:tentative="0">
      <w:start w:val="1"/>
      <w:numFmt w:val="decimal"/>
      <w:lvlText w:val="%9."/>
      <w:lvlJc w:val="left"/>
      <w:pPr>
        <w:tabs>
          <w:tab w:val="left" w:pos="6118"/>
        </w:tabs>
        <w:ind w:left="7260" w:hanging="360"/>
      </w:pPr>
      <w:rPr>
        <w:sz w:val="24"/>
        <w:szCs w:val="24"/>
      </w:rPr>
    </w:lvl>
  </w:abstractNum>
  <w:abstractNum w:abstractNumId="2">
    <w:nsid w:val="5A0E2FFA"/>
    <w:multiLevelType w:val="multilevel"/>
    <w:tmpl w:val="5A0E2FFA"/>
    <w:lvl w:ilvl="0" w:tentative="0">
      <w:start w:val="1"/>
      <w:numFmt w:val="decimal"/>
      <w:lvlText w:val="%1."/>
      <w:lvlJc w:val="left"/>
      <w:pPr>
        <w:tabs>
          <w:tab w:val="left" w:pos="720"/>
        </w:tabs>
        <w:ind w:left="1500" w:hanging="360"/>
      </w:pPr>
      <w:rPr>
        <w:sz w:val="24"/>
        <w:szCs w:val="24"/>
      </w:rPr>
    </w:lvl>
    <w:lvl w:ilvl="1" w:tentative="0">
      <w:start w:val="1"/>
      <w:numFmt w:val="decimal"/>
      <w:lvlText w:val="%2."/>
      <w:lvlJc w:val="left"/>
      <w:pPr>
        <w:tabs>
          <w:tab w:val="left" w:pos="1440"/>
        </w:tabs>
        <w:ind w:left="2220" w:hanging="360"/>
      </w:pPr>
      <w:rPr>
        <w:sz w:val="24"/>
        <w:szCs w:val="24"/>
      </w:rPr>
    </w:lvl>
    <w:lvl w:ilvl="2" w:tentative="0">
      <w:start w:val="1"/>
      <w:numFmt w:val="decimal"/>
      <w:lvlText w:val="%3."/>
      <w:lvlJc w:val="left"/>
      <w:pPr>
        <w:tabs>
          <w:tab w:val="left" w:pos="2160"/>
        </w:tabs>
        <w:ind w:left="2940" w:hanging="360"/>
      </w:pPr>
      <w:rPr>
        <w:sz w:val="24"/>
        <w:szCs w:val="24"/>
      </w:rPr>
    </w:lvl>
    <w:lvl w:ilvl="3" w:tentative="0">
      <w:start w:val="1"/>
      <w:numFmt w:val="decimal"/>
      <w:lvlText w:val="%4."/>
      <w:lvlJc w:val="left"/>
      <w:pPr>
        <w:tabs>
          <w:tab w:val="left" w:pos="2517"/>
        </w:tabs>
        <w:ind w:left="3660" w:hanging="360"/>
      </w:pPr>
      <w:rPr>
        <w:sz w:val="24"/>
        <w:szCs w:val="24"/>
      </w:rPr>
    </w:lvl>
    <w:lvl w:ilvl="4" w:tentative="0">
      <w:start w:val="1"/>
      <w:numFmt w:val="decimal"/>
      <w:lvlText w:val="%5."/>
      <w:lvlJc w:val="left"/>
      <w:pPr>
        <w:tabs>
          <w:tab w:val="left" w:pos="3238"/>
        </w:tabs>
        <w:ind w:left="4380" w:hanging="360"/>
      </w:pPr>
      <w:rPr>
        <w:sz w:val="24"/>
        <w:szCs w:val="24"/>
      </w:rPr>
    </w:lvl>
    <w:lvl w:ilvl="5" w:tentative="0">
      <w:start w:val="1"/>
      <w:numFmt w:val="decimal"/>
      <w:lvlText w:val="%6."/>
      <w:lvlJc w:val="left"/>
      <w:pPr>
        <w:tabs>
          <w:tab w:val="left" w:pos="3958"/>
        </w:tabs>
        <w:ind w:left="5100" w:hanging="360"/>
      </w:pPr>
      <w:rPr>
        <w:sz w:val="24"/>
        <w:szCs w:val="24"/>
      </w:rPr>
    </w:lvl>
    <w:lvl w:ilvl="6" w:tentative="0">
      <w:start w:val="1"/>
      <w:numFmt w:val="decimal"/>
      <w:lvlText w:val="%7."/>
      <w:lvlJc w:val="left"/>
      <w:pPr>
        <w:tabs>
          <w:tab w:val="left" w:pos="4678"/>
        </w:tabs>
        <w:ind w:left="5820" w:hanging="360"/>
      </w:pPr>
      <w:rPr>
        <w:sz w:val="24"/>
        <w:szCs w:val="24"/>
      </w:rPr>
    </w:lvl>
    <w:lvl w:ilvl="7" w:tentative="0">
      <w:start w:val="1"/>
      <w:numFmt w:val="decimal"/>
      <w:lvlText w:val="%8."/>
      <w:lvlJc w:val="left"/>
      <w:pPr>
        <w:tabs>
          <w:tab w:val="left" w:pos="5398"/>
        </w:tabs>
        <w:ind w:left="6540" w:hanging="360"/>
      </w:pPr>
      <w:rPr>
        <w:sz w:val="24"/>
        <w:szCs w:val="24"/>
      </w:rPr>
    </w:lvl>
    <w:lvl w:ilvl="8" w:tentative="0">
      <w:start w:val="1"/>
      <w:numFmt w:val="decimal"/>
      <w:lvlText w:val="%9."/>
      <w:lvlJc w:val="left"/>
      <w:pPr>
        <w:tabs>
          <w:tab w:val="left" w:pos="6118"/>
        </w:tabs>
        <w:ind w:left="726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33D0FB7"/>
    <w:rsid w:val="733D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2024-05-04T05:29:00Z</dcterms:created>
  <dc:creator>微信用户</dc:creator>
  <cp:lastModifiedBy>微信用户</cp:lastModifiedBy>
  <dcterms:modified xsi:type="dcterms:W3CDTF">2024-05-04T05:30:21Z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04F100631863454294001FCB1FA04F5E_11</vt:lpwstr>
  </property>
</Properties>
</file>