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设立股份有限公司出资协议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一、协议背景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鉴于各出资人（以下简称“股东”）拟共同设立一家股份有限公司（以下简称“公司”），为保证公司的顺利设立及运营，规范各股东之间的权利义务关系，特订立本出资协议。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二、公司名称、注册地址及注册资本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公司名称：[公司名称]</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注册地址：[公司注册地址]</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注册资本：人民币[注册资本总额]元，由全体股东按照本协议约定的方式、比例和时间出资。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三、股东及出资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股东姓名/名称、出资方式、出资额及出资比例如下：</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bdr w:val="none" w:color="auto" w:sz="0" w:space="0"/>
        </w:rPr>
        <w:t>●</w:t>
      </w:r>
      <w:r>
        <w:rPr>
          <w:rFonts w:hint="default" w:ascii="PingFang-SC-Regular" w:hAnsi="PingFang-SC-Regular" w:eastAsia="PingFang-SC-Regular" w:cs="PingFang-SC-Regular"/>
          <w:i w:val="0"/>
          <w:iCs w:val="0"/>
          <w:caps w:val="0"/>
          <w:color w:val="05073B"/>
          <w:spacing w:val="0"/>
          <w:sz w:val="22"/>
          <w:szCs w:val="22"/>
          <w:bdr w:val="none" w:color="auto" w:sz="0" w:space="0"/>
        </w:rPr>
        <w:t>股东一：[股东一姓名/名称]，以[出资方式]（如现金、实物、知识产权等）出资人民币[金额]元，占注册资本的[比例]%。</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bdr w:val="none" w:color="auto" w:sz="0" w:space="0"/>
        </w:rPr>
        <w:t>股东二：[股东二姓名/名称]，以[出资方式]（如现金、实物、知识产权等）出资人民币[金额]元，占注册资本的[比例]%。</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bdr w:val="none" w:color="auto" w:sz="0" w:space="0"/>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各股东应按照本协议的约定，在公司设立登记前完成出资。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四、股东的权利与义务</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股东享有公司章程及《公司法》规定的股东权利，包括但不限于利润分配权、股权转让权、公司管理权等。</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股东应按照公司章程及本协议的约定，履行出资义务，并承担公司运营过程中可能产生的风险。</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股东应积极参与公司的经营管理，共同推动公司的健康发展。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五、争议解决</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若股东之间因本协议的履行发生争议，应首先通过友好协商解决；协商不成的，任何一方均有权将争议提交至[仲裁机构名称]进行仲裁，仲裁裁决对双方均有约束力。</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若股东之间无法就仲裁机构的选择达成一致，任何一方均有权将争议提交至公司注册地有管辖权的人民法院诉讼解决。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六、其他</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本协议自各股东签字（或盖章）之日起生效，并对各股东具有法律约束力。</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本协议一式[份数]份，各股东各执[份数]份，具有同等法律效力。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股东一（签字/盖章）：[股东一签字/盖章]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日期：[股东一签字日期]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股东二（签字/盖章）：[股东二签字/盖章]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日期：[股东二签字日期]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（注：以上仅为出资协议范本，具体内容需根据各</w:t>
      </w:r>
      <w:bookmarkStart w:id="0" w:name="_GoBack"/>
      <w:bookmarkEnd w:id="0"/>
      <w:r>
        <w:rPr>
          <w:rFonts w:hint="default" w:ascii="Segoe UI" w:hAnsi="Segoe UI" w:eastAsia="Segoe UI" w:cs="Segoe UI"/>
          <w:i w:val="0"/>
          <w:iCs w:val="0"/>
          <w:caps w:val="0"/>
          <w:color w:val="05073B"/>
          <w:spacing w:val="0"/>
          <w:sz w:val="22"/>
          <w:szCs w:val="22"/>
          <w:bdr w:val="none" w:color="auto" w:sz="0" w:space="0"/>
        </w:rPr>
        <w:t>公司的实际情况进行调整和完善。）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F4C6F"/>
    <w:multiLevelType w:val="multilevel"/>
    <w:tmpl w:val="82BF4C6F"/>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abstractNum w:abstractNumId="1">
    <w:nsid w:val="024585A7"/>
    <w:multiLevelType w:val="multilevel"/>
    <w:tmpl w:val="024585A7"/>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abstractNum w:abstractNumId="2">
    <w:nsid w:val="37C1E624"/>
    <w:multiLevelType w:val="multilevel"/>
    <w:tmpl w:val="37C1E624"/>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abstractNum w:abstractNumId="3">
    <w:nsid w:val="57374991"/>
    <w:multiLevelType w:val="multilevel"/>
    <w:tmpl w:val="57374991"/>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531863AE"/>
    <w:rsid w:val="5318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2024-05-06T01:28:00Z</dcterms:created>
  <dc:creator>微信用户</dc:creator>
  <cp:lastModifiedBy>微信用户</cp:lastModifiedBy>
  <dcterms:modified xsi:type="dcterms:W3CDTF">2024-05-06T01:29:59Z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0802BD4737F4433A8B08E1B27C752D05_11</vt:lpwstr>
  </property>
</Properties>
</file>