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27" w:beforeLines="100" w:after="240" w:afterLines="100" w:line="360" w:lineRule="auto"/>
        <w:jc w:val="center"/>
        <w:textAlignment w:val="auto"/>
        <w:rPr>
          <w:rFonts w:hint="eastAsia" w:ascii="楷体" w:hAnsi="楷体" w:eastAsia="楷体"/>
          <w:b/>
          <w:color w:val="000000"/>
        </w:rPr>
      </w:pPr>
      <w:bookmarkStart w:id="0" w:name="_GoBack"/>
      <w:bookmarkEnd w:id="0"/>
      <w:r>
        <w:rPr>
          <w:rFonts w:hint="eastAsia" w:ascii="楷体" w:hAnsi="楷体" w:eastAsia="楷体"/>
          <w:b/>
          <w:color w:val="000000"/>
          <w:sz w:val="36"/>
        </w:rPr>
        <w:t>关键绩效指标辞典</w:t>
      </w:r>
    </w:p>
    <w:p>
      <w:pPr>
        <w:jc w:val="center"/>
        <w:rPr>
          <w:rFonts w:hint="eastAsia" w:ascii="楷体" w:hAnsi="楷体" w:eastAsia="楷体"/>
          <w:b/>
          <w:color w:val="000000"/>
          <w:sz w:val="28"/>
          <w:szCs w:val="24"/>
        </w:rPr>
      </w:pPr>
      <w:r>
        <w:rPr>
          <w:rFonts w:hint="eastAsia" w:ascii="楷体" w:hAnsi="楷体" w:eastAsia="楷体"/>
          <w:b/>
          <w:color w:val="000000"/>
          <w:sz w:val="28"/>
          <w:szCs w:val="32"/>
        </w:rPr>
        <w:t>财务类指标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6300"/>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4068" w:type="dxa"/>
            <w:shd w:val="clear" w:color="auto" w:fill="FFFF00"/>
            <w:noWrap w:val="0"/>
            <w:vAlign w:val="top"/>
          </w:tcPr>
          <w:p>
            <w:pPr>
              <w:jc w:val="center"/>
              <w:rPr>
                <w:rFonts w:hint="eastAsia" w:ascii="楷体" w:hAnsi="楷体" w:eastAsia="楷体"/>
                <w:color w:val="000000"/>
                <w:szCs w:val="24"/>
              </w:rPr>
            </w:pPr>
            <w:r>
              <w:rPr>
                <w:rFonts w:hint="eastAsia" w:ascii="楷体" w:hAnsi="楷体" w:eastAsia="楷体"/>
                <w:color w:val="000000"/>
                <w:szCs w:val="24"/>
              </w:rPr>
              <w:t>关键绩效指标</w:t>
            </w:r>
          </w:p>
        </w:tc>
        <w:tc>
          <w:tcPr>
            <w:tcW w:w="6300" w:type="dxa"/>
            <w:shd w:val="clear" w:color="auto" w:fill="FFFF00"/>
            <w:noWrap w:val="0"/>
            <w:vAlign w:val="top"/>
          </w:tcPr>
          <w:p>
            <w:pPr>
              <w:jc w:val="center"/>
              <w:rPr>
                <w:rFonts w:hint="eastAsia" w:ascii="楷体" w:hAnsi="楷体" w:eastAsia="楷体"/>
                <w:color w:val="000000"/>
                <w:szCs w:val="24"/>
              </w:rPr>
            </w:pPr>
            <w:r>
              <w:rPr>
                <w:rFonts w:hint="eastAsia" w:ascii="楷体" w:hAnsi="楷体" w:eastAsia="楷体"/>
                <w:color w:val="000000"/>
                <w:szCs w:val="24"/>
              </w:rPr>
              <w:t>指标定义/计算公式</w:t>
            </w:r>
          </w:p>
        </w:tc>
        <w:tc>
          <w:tcPr>
            <w:tcW w:w="3186" w:type="dxa"/>
            <w:shd w:val="clear" w:color="auto" w:fill="FFFF00"/>
            <w:noWrap w:val="0"/>
            <w:vAlign w:val="top"/>
          </w:tcPr>
          <w:p>
            <w:pPr>
              <w:jc w:val="center"/>
              <w:rPr>
                <w:rFonts w:hint="eastAsia" w:ascii="楷体" w:hAnsi="楷体" w:eastAsia="楷体"/>
                <w:color w:val="000000"/>
                <w:szCs w:val="24"/>
              </w:rPr>
            </w:pPr>
            <w:r>
              <w:rPr>
                <w:rFonts w:hint="eastAsia" w:ascii="楷体" w:hAnsi="楷体" w:eastAsia="楷体"/>
                <w:color w:val="000000"/>
                <w:szCs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部门费用预算达成率</w:t>
            </w:r>
          </w:p>
        </w:tc>
        <w:tc>
          <w:tcPr>
            <w:tcW w:w="6300"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(实际</w:t>
            </w:r>
            <w:r>
              <w:rPr>
                <w:rFonts w:hint="eastAsia" w:ascii="楷体" w:hAnsi="楷体" w:eastAsia="楷体"/>
                <w:snapToGrid w:val="0"/>
                <w:color w:val="000000"/>
                <w:szCs w:val="24"/>
              </w:rPr>
              <w:t>部门</w:t>
            </w:r>
            <w:r>
              <w:rPr>
                <w:rFonts w:ascii="楷体" w:hAnsi="楷体" w:eastAsia="楷体"/>
                <w:snapToGrid w:val="0"/>
                <w:color w:val="000000"/>
                <w:szCs w:val="24"/>
              </w:rPr>
              <w:t>费用/计划费用)*100%</w:t>
            </w:r>
          </w:p>
        </w:tc>
        <w:tc>
          <w:tcPr>
            <w:tcW w:w="31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部门费用实际及预算资料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项目研究开发费用预算达成率</w:t>
            </w:r>
          </w:p>
        </w:tc>
        <w:tc>
          <w:tcPr>
            <w:tcW w:w="6300"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(实际</w:t>
            </w:r>
            <w:r>
              <w:rPr>
                <w:rFonts w:hint="eastAsia" w:ascii="楷体" w:hAnsi="楷体" w:eastAsia="楷体"/>
                <w:snapToGrid w:val="0"/>
                <w:color w:val="000000"/>
                <w:szCs w:val="24"/>
              </w:rPr>
              <w:t>项目研究开发</w:t>
            </w:r>
            <w:r>
              <w:rPr>
                <w:rFonts w:ascii="楷体" w:hAnsi="楷体" w:eastAsia="楷体"/>
                <w:snapToGrid w:val="0"/>
                <w:color w:val="000000"/>
                <w:szCs w:val="24"/>
              </w:rPr>
              <w:t>费用/计划费用)*100%</w:t>
            </w:r>
          </w:p>
        </w:tc>
        <w:tc>
          <w:tcPr>
            <w:tcW w:w="31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项目研究开发费用实际及预算资料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课题费用预算达成率</w:t>
            </w:r>
          </w:p>
        </w:tc>
        <w:tc>
          <w:tcPr>
            <w:tcW w:w="6300"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(实际</w:t>
            </w:r>
            <w:r>
              <w:rPr>
                <w:rFonts w:hint="eastAsia" w:ascii="楷体" w:hAnsi="楷体" w:eastAsia="楷体"/>
                <w:snapToGrid w:val="0"/>
                <w:color w:val="000000"/>
                <w:szCs w:val="24"/>
              </w:rPr>
              <w:t>课题</w:t>
            </w:r>
            <w:r>
              <w:rPr>
                <w:rFonts w:ascii="楷体" w:hAnsi="楷体" w:eastAsia="楷体"/>
                <w:snapToGrid w:val="0"/>
                <w:color w:val="000000"/>
                <w:szCs w:val="24"/>
              </w:rPr>
              <w:t>费用/计划费用)*100%</w:t>
            </w:r>
          </w:p>
        </w:tc>
        <w:tc>
          <w:tcPr>
            <w:tcW w:w="31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课题费用实际及预算资料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招聘费用预算达成率</w:t>
            </w:r>
          </w:p>
        </w:tc>
        <w:tc>
          <w:tcPr>
            <w:tcW w:w="6300"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(实际</w:t>
            </w:r>
            <w:r>
              <w:rPr>
                <w:rFonts w:hint="eastAsia" w:ascii="楷体" w:hAnsi="楷体" w:eastAsia="楷体"/>
                <w:snapToGrid w:val="0"/>
                <w:color w:val="000000"/>
                <w:szCs w:val="24"/>
              </w:rPr>
              <w:t>招聘</w:t>
            </w:r>
            <w:r>
              <w:rPr>
                <w:rFonts w:ascii="楷体" w:hAnsi="楷体" w:eastAsia="楷体"/>
                <w:snapToGrid w:val="0"/>
                <w:color w:val="000000"/>
                <w:szCs w:val="24"/>
              </w:rPr>
              <w:t>费用/计划费用)*100%</w:t>
            </w:r>
          </w:p>
        </w:tc>
        <w:tc>
          <w:tcPr>
            <w:tcW w:w="31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招聘费用实际及预算资料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培训费用预算达成率</w:t>
            </w:r>
          </w:p>
        </w:tc>
        <w:tc>
          <w:tcPr>
            <w:tcW w:w="6300"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(实际</w:t>
            </w:r>
            <w:r>
              <w:rPr>
                <w:rFonts w:hint="eastAsia" w:ascii="楷体" w:hAnsi="楷体" w:eastAsia="楷体"/>
                <w:snapToGrid w:val="0"/>
                <w:color w:val="000000"/>
                <w:szCs w:val="24"/>
              </w:rPr>
              <w:t>培训</w:t>
            </w:r>
            <w:r>
              <w:rPr>
                <w:rFonts w:ascii="楷体" w:hAnsi="楷体" w:eastAsia="楷体"/>
                <w:snapToGrid w:val="0"/>
                <w:color w:val="000000"/>
                <w:szCs w:val="24"/>
              </w:rPr>
              <w:t>费用/计划费用)*100%</w:t>
            </w:r>
          </w:p>
        </w:tc>
        <w:tc>
          <w:tcPr>
            <w:tcW w:w="31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培训费用实际及预算资料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新产品研究开发费用预算达成率</w:t>
            </w:r>
          </w:p>
        </w:tc>
        <w:tc>
          <w:tcPr>
            <w:tcW w:w="6300"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(实际</w:t>
            </w:r>
            <w:r>
              <w:rPr>
                <w:rFonts w:hint="eastAsia" w:ascii="楷体" w:hAnsi="楷体" w:eastAsia="楷体"/>
                <w:snapToGrid w:val="0"/>
                <w:color w:val="000000"/>
                <w:szCs w:val="24"/>
              </w:rPr>
              <w:t>新产品研究开发</w:t>
            </w:r>
            <w:r>
              <w:rPr>
                <w:rFonts w:ascii="楷体" w:hAnsi="楷体" w:eastAsia="楷体"/>
                <w:snapToGrid w:val="0"/>
                <w:color w:val="000000"/>
                <w:szCs w:val="24"/>
              </w:rPr>
              <w:t>费用/计划费用)*100%</w:t>
            </w:r>
          </w:p>
        </w:tc>
        <w:tc>
          <w:tcPr>
            <w:tcW w:w="31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新产品研究开发费用实际及预算资料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承保利润</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寿险各险种的死差损益情况，死差损益</w:t>
            </w:r>
            <w:r>
              <w:rPr>
                <w:rFonts w:ascii="楷体" w:hAnsi="楷体" w:eastAsia="楷体"/>
                <w:color w:val="000000"/>
                <w:szCs w:val="24"/>
              </w:rPr>
              <w:t>=</w:t>
            </w:r>
            <w:r>
              <w:rPr>
                <w:rFonts w:hint="eastAsia" w:ascii="楷体" w:hAnsi="楷体" w:eastAsia="楷体"/>
                <w:color w:val="000000"/>
                <w:szCs w:val="24"/>
              </w:rPr>
              <w:t>实际死亡率</w:t>
            </w:r>
            <w:r>
              <w:rPr>
                <w:rFonts w:ascii="楷体" w:hAnsi="楷体" w:eastAsia="楷体"/>
                <w:color w:val="000000"/>
                <w:szCs w:val="24"/>
              </w:rPr>
              <w:t>-</w:t>
            </w:r>
            <w:r>
              <w:rPr>
                <w:rFonts w:hint="eastAsia" w:ascii="楷体" w:hAnsi="楷体" w:eastAsia="楷体"/>
                <w:color w:val="000000"/>
                <w:szCs w:val="24"/>
              </w:rPr>
              <w:t>预期死亡率</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理赔统计、精算部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赔付率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（本期实际赔付额</w:t>
            </w:r>
            <w:r>
              <w:rPr>
                <w:rFonts w:ascii="楷体" w:hAnsi="楷体" w:eastAsia="楷体"/>
                <w:color w:val="000000"/>
                <w:szCs w:val="24"/>
              </w:rPr>
              <w:t>+</w:t>
            </w:r>
            <w:r>
              <w:rPr>
                <w:rFonts w:hint="eastAsia" w:ascii="楷体" w:hAnsi="楷体" w:eastAsia="楷体"/>
                <w:color w:val="000000"/>
                <w:szCs w:val="24"/>
              </w:rPr>
              <w:t>本期未决赔款</w:t>
            </w:r>
            <w:r>
              <w:rPr>
                <w:rFonts w:ascii="楷体" w:hAnsi="楷体" w:eastAsia="楷体"/>
                <w:color w:val="000000"/>
                <w:szCs w:val="24"/>
              </w:rPr>
              <w:t>-</w:t>
            </w:r>
            <w:r>
              <w:rPr>
                <w:rFonts w:hint="eastAsia" w:ascii="楷体" w:hAnsi="楷体" w:eastAsia="楷体"/>
                <w:color w:val="000000"/>
                <w:szCs w:val="24"/>
              </w:rPr>
              <w:t>本期支付上期未决赔款）</w:t>
            </w:r>
            <w:r>
              <w:rPr>
                <w:rFonts w:ascii="楷体" w:hAnsi="楷体" w:eastAsia="楷体"/>
                <w:color w:val="000000"/>
                <w:szCs w:val="24"/>
              </w:rPr>
              <w:t>/</w:t>
            </w:r>
            <w:r>
              <w:rPr>
                <w:rFonts w:hint="eastAsia" w:ascii="楷体" w:hAnsi="楷体" w:eastAsia="楷体"/>
                <w:color w:val="000000"/>
                <w:szCs w:val="24"/>
              </w:rPr>
              <w:t>本期经过的寿险风险保费</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理赔统计、精算部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内嵌价值的增加</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将来保单价值的贴现值</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精算部、财务部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人力成本总额控制率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(实际人力成本</w:t>
            </w:r>
            <w:r>
              <w:rPr>
                <w:rFonts w:ascii="楷体" w:hAnsi="楷体" w:eastAsia="楷体"/>
                <w:color w:val="000000"/>
                <w:szCs w:val="24"/>
              </w:rPr>
              <w:t>/</w:t>
            </w:r>
            <w:r>
              <w:rPr>
                <w:rFonts w:hint="eastAsia" w:ascii="楷体" w:hAnsi="楷体" w:eastAsia="楷体"/>
                <w:color w:val="000000"/>
                <w:szCs w:val="24"/>
              </w:rPr>
              <w:t>计划人力成本)</w:t>
            </w:r>
            <w:r>
              <w:rPr>
                <w:rFonts w:ascii="楷体" w:hAnsi="楷体" w:eastAsia="楷体"/>
                <w:color w:val="000000"/>
                <w:szCs w:val="24"/>
              </w:rPr>
              <w:t>*100%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标准保费达成率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(公司实际标准保费</w:t>
            </w:r>
            <w:r>
              <w:rPr>
                <w:rFonts w:ascii="楷体" w:hAnsi="楷体" w:eastAsia="楷体"/>
                <w:color w:val="000000"/>
                <w:szCs w:val="24"/>
              </w:rPr>
              <w:t>/</w:t>
            </w:r>
            <w:r>
              <w:rPr>
                <w:rFonts w:hint="eastAsia" w:ascii="楷体" w:hAnsi="楷体" w:eastAsia="楷体"/>
                <w:color w:val="000000"/>
                <w:szCs w:val="24"/>
              </w:rPr>
              <w:t>计划标准保费)*100%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附加佣金占标准保费比率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(附加佣金</w:t>
            </w:r>
            <w:r>
              <w:rPr>
                <w:rFonts w:ascii="楷体" w:hAnsi="楷体" w:eastAsia="楷体"/>
                <w:color w:val="000000"/>
                <w:szCs w:val="24"/>
              </w:rPr>
              <w:t>/</w:t>
            </w:r>
            <w:r>
              <w:rPr>
                <w:rFonts w:hint="eastAsia" w:ascii="楷体" w:hAnsi="楷体" w:eastAsia="楷体"/>
                <w:color w:val="000000"/>
                <w:szCs w:val="24"/>
              </w:rPr>
              <w:t>营销标准保费)*100%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续期推动费用率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(续期推动费用</w:t>
            </w:r>
            <w:r>
              <w:rPr>
                <w:rFonts w:ascii="楷体" w:hAnsi="楷体" w:eastAsia="楷体"/>
                <w:color w:val="000000"/>
                <w:szCs w:val="24"/>
              </w:rPr>
              <w:t>/</w:t>
            </w:r>
            <w:r>
              <w:rPr>
                <w:rFonts w:hint="eastAsia" w:ascii="楷体" w:hAnsi="楷体" w:eastAsia="楷体"/>
                <w:color w:val="000000"/>
                <w:szCs w:val="24"/>
              </w:rPr>
              <w:t>“孤儿单”佣金)</w:t>
            </w:r>
            <w:r>
              <w:rPr>
                <w:rFonts w:ascii="楷体" w:hAnsi="楷体" w:eastAsia="楷体"/>
                <w:color w:val="000000"/>
                <w:szCs w:val="24"/>
              </w:rPr>
              <w:t>*100%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业务推动费用占标准保费比率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(业务推动费</w:t>
            </w:r>
            <w:r>
              <w:rPr>
                <w:rFonts w:ascii="楷体" w:hAnsi="楷体" w:eastAsia="楷体"/>
                <w:color w:val="000000"/>
                <w:szCs w:val="24"/>
              </w:rPr>
              <w:t>/</w:t>
            </w:r>
            <w:r>
              <w:rPr>
                <w:rFonts w:hint="eastAsia" w:ascii="楷体" w:hAnsi="楷体" w:eastAsia="楷体"/>
                <w:color w:val="000000"/>
                <w:szCs w:val="24"/>
              </w:rPr>
              <w:t>标准保费)*100%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公司总体费用预算达成率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(公司实际总费用</w:t>
            </w:r>
            <w:r>
              <w:rPr>
                <w:rFonts w:ascii="楷体" w:hAnsi="楷体" w:eastAsia="楷体"/>
                <w:color w:val="000000"/>
                <w:szCs w:val="24"/>
              </w:rPr>
              <w:t>/</w:t>
            </w:r>
            <w:r>
              <w:rPr>
                <w:rFonts w:hint="eastAsia" w:ascii="楷体" w:hAnsi="楷体" w:eastAsia="楷体"/>
                <w:color w:val="000000"/>
                <w:szCs w:val="24"/>
              </w:rPr>
              <w:t>预算总费用)*100%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管理费用实际及预算资料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公司办公及物业管理费用预算达成率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(实际数</w:t>
            </w:r>
            <w:r>
              <w:rPr>
                <w:rFonts w:ascii="楷体" w:hAnsi="楷体" w:eastAsia="楷体"/>
                <w:color w:val="000000"/>
                <w:szCs w:val="24"/>
              </w:rPr>
              <w:t>/</w:t>
            </w:r>
            <w:r>
              <w:rPr>
                <w:rFonts w:hint="eastAsia" w:ascii="楷体" w:hAnsi="楷体" w:eastAsia="楷体"/>
                <w:color w:val="000000"/>
                <w:szCs w:val="24"/>
              </w:rPr>
              <w:t>预算数)*100%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车辆费用预算达成率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(实际数</w:t>
            </w:r>
            <w:r>
              <w:rPr>
                <w:rFonts w:ascii="楷体" w:hAnsi="楷体" w:eastAsia="楷体"/>
                <w:color w:val="000000"/>
                <w:szCs w:val="24"/>
              </w:rPr>
              <w:t>/</w:t>
            </w:r>
            <w:r>
              <w:rPr>
                <w:rFonts w:hint="eastAsia" w:ascii="楷体" w:hAnsi="楷体" w:eastAsia="楷体"/>
                <w:color w:val="000000"/>
                <w:szCs w:val="24"/>
              </w:rPr>
              <w:t>预算数)*100%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党办管理费用预算达成率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(实际数</w:t>
            </w:r>
            <w:r>
              <w:rPr>
                <w:rFonts w:ascii="楷体" w:hAnsi="楷体" w:eastAsia="楷体"/>
                <w:color w:val="000000"/>
                <w:szCs w:val="24"/>
              </w:rPr>
              <w:t>/</w:t>
            </w:r>
            <w:r>
              <w:rPr>
                <w:rFonts w:hint="eastAsia" w:ascii="楷体" w:hAnsi="楷体" w:eastAsia="楷体"/>
                <w:color w:val="000000"/>
                <w:szCs w:val="24"/>
              </w:rPr>
              <w:t>预算数)*100%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党办、工会费用预算达成率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(实际数</w:t>
            </w:r>
            <w:r>
              <w:rPr>
                <w:rFonts w:ascii="楷体" w:hAnsi="楷体" w:eastAsia="楷体"/>
                <w:color w:val="000000"/>
                <w:szCs w:val="24"/>
              </w:rPr>
              <w:t>/</w:t>
            </w:r>
            <w:r>
              <w:rPr>
                <w:rFonts w:hint="eastAsia" w:ascii="楷体" w:hAnsi="楷体" w:eastAsia="楷体"/>
                <w:color w:val="000000"/>
                <w:szCs w:val="24"/>
              </w:rPr>
              <w:t>预算数)*100%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日常办公费用预算达成率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(实际数</w:t>
            </w:r>
            <w:r>
              <w:rPr>
                <w:rFonts w:ascii="楷体" w:hAnsi="楷体" w:eastAsia="楷体"/>
                <w:color w:val="000000"/>
                <w:szCs w:val="24"/>
              </w:rPr>
              <w:t>/</w:t>
            </w:r>
            <w:r>
              <w:rPr>
                <w:rFonts w:hint="eastAsia" w:ascii="楷体" w:hAnsi="楷体" w:eastAsia="楷体"/>
                <w:color w:val="000000"/>
                <w:szCs w:val="24"/>
              </w:rPr>
              <w:t>预算数)*100%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办公费用预算达成率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(实际数</w:t>
            </w:r>
            <w:r>
              <w:rPr>
                <w:rFonts w:ascii="楷体" w:hAnsi="楷体" w:eastAsia="楷体"/>
                <w:color w:val="000000"/>
                <w:szCs w:val="24"/>
              </w:rPr>
              <w:t>/</w:t>
            </w:r>
            <w:r>
              <w:rPr>
                <w:rFonts w:hint="eastAsia" w:ascii="楷体" w:hAnsi="楷体" w:eastAsia="楷体"/>
                <w:color w:val="000000"/>
                <w:szCs w:val="24"/>
              </w:rPr>
              <w:t>预算数)*100%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会务、接待费用达成率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(实际数</w:t>
            </w:r>
            <w:r>
              <w:rPr>
                <w:rFonts w:ascii="楷体" w:hAnsi="楷体" w:eastAsia="楷体"/>
                <w:color w:val="000000"/>
                <w:szCs w:val="24"/>
              </w:rPr>
              <w:t>/</w:t>
            </w:r>
            <w:r>
              <w:rPr>
                <w:rFonts w:hint="eastAsia" w:ascii="楷体" w:hAnsi="楷体" w:eastAsia="楷体"/>
                <w:color w:val="000000"/>
                <w:szCs w:val="24"/>
              </w:rPr>
              <w:t>预算数)*100%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专项费用预算达成率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(实际专项费用</w:t>
            </w:r>
            <w:r>
              <w:rPr>
                <w:rFonts w:ascii="楷体" w:hAnsi="楷体" w:eastAsia="楷体"/>
                <w:color w:val="000000"/>
                <w:szCs w:val="24"/>
              </w:rPr>
              <w:t>/</w:t>
            </w:r>
            <w:r>
              <w:rPr>
                <w:rFonts w:hint="eastAsia" w:ascii="楷体" w:hAnsi="楷体" w:eastAsia="楷体"/>
                <w:color w:val="000000"/>
                <w:szCs w:val="24"/>
              </w:rPr>
              <w:t>预算专项费用)*100%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销售目标达成率</w:t>
            </w:r>
          </w:p>
        </w:tc>
        <w:tc>
          <w:tcPr>
            <w:tcW w:w="6300"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(实际销售额/计划销售额)*100%</w:t>
            </w:r>
          </w:p>
        </w:tc>
        <w:tc>
          <w:tcPr>
            <w:tcW w:w="3186" w:type="dxa"/>
            <w:noWrap w:val="0"/>
            <w:vAlign w:val="top"/>
          </w:tcPr>
          <w:p>
            <w:pPr>
              <w:jc w:val="both"/>
              <w:rPr>
                <w:rFonts w:hint="eastAsia" w:ascii="楷体" w:hAnsi="楷体" w:eastAsia="楷体"/>
                <w:color w:val="000000"/>
                <w:szCs w:val="24"/>
              </w:rPr>
            </w:pPr>
            <w:r>
              <w:rPr>
                <w:rFonts w:ascii="楷体" w:hAnsi="楷体" w:eastAsia="楷体"/>
                <w:color w:val="000000"/>
                <w:szCs w:val="24"/>
              </w:rPr>
              <w:t>销售报表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理赔率</w:t>
            </w:r>
          </w:p>
        </w:tc>
        <w:tc>
          <w:tcPr>
            <w:tcW w:w="6300" w:type="dxa"/>
            <w:noWrap w:val="0"/>
            <w:vAlign w:val="top"/>
          </w:tcPr>
          <w:p>
            <w:pPr>
              <w:jc w:val="both"/>
              <w:rPr>
                <w:rFonts w:hint="eastAsia" w:ascii="楷体" w:hAnsi="楷体" w:eastAsia="楷体"/>
                <w:snapToGrid w:val="0"/>
                <w:color w:val="000000"/>
                <w:szCs w:val="24"/>
              </w:rPr>
            </w:pPr>
            <w:r>
              <w:rPr>
                <w:rFonts w:hint="eastAsia" w:ascii="楷体" w:hAnsi="楷体" w:eastAsia="楷体"/>
                <w:snapToGrid w:val="0"/>
                <w:color w:val="000000"/>
                <w:szCs w:val="24"/>
              </w:rPr>
              <w:t>(</w:t>
            </w:r>
            <w:r>
              <w:rPr>
                <w:rFonts w:ascii="楷体" w:hAnsi="楷体" w:eastAsia="楷体"/>
                <w:snapToGrid w:val="0"/>
                <w:color w:val="000000"/>
                <w:szCs w:val="24"/>
                <w:lang w:eastAsia="en-US"/>
              </w:rPr>
              <w:t>理赔数量/销售数量</w:t>
            </w:r>
            <w:r>
              <w:rPr>
                <w:rFonts w:hint="eastAsia" w:ascii="楷体" w:hAnsi="楷体" w:eastAsia="楷体"/>
                <w:snapToGrid w:val="0"/>
                <w:color w:val="000000"/>
                <w:szCs w:val="24"/>
              </w:rPr>
              <w:t>)*100%</w:t>
            </w:r>
          </w:p>
        </w:tc>
        <w:tc>
          <w:tcPr>
            <w:tcW w:w="3186" w:type="dxa"/>
            <w:noWrap w:val="0"/>
            <w:vAlign w:val="top"/>
          </w:tcPr>
          <w:p>
            <w:pPr>
              <w:jc w:val="both"/>
              <w:rPr>
                <w:rFonts w:hint="eastAsia" w:ascii="楷体" w:hAnsi="楷体" w:eastAsia="楷体"/>
                <w:color w:val="000000"/>
                <w:szCs w:val="24"/>
              </w:rPr>
            </w:pPr>
            <w:r>
              <w:rPr>
                <w:rFonts w:ascii="楷体" w:hAnsi="楷体" w:eastAsia="楷体"/>
                <w:color w:val="000000"/>
                <w:szCs w:val="24"/>
              </w:rPr>
              <w:t>理赔报表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产品/服务销售收入达成率</w:t>
            </w:r>
          </w:p>
        </w:tc>
        <w:tc>
          <w:tcPr>
            <w:tcW w:w="6300" w:type="dxa"/>
            <w:noWrap w:val="0"/>
            <w:vAlign w:val="top"/>
          </w:tcPr>
          <w:p>
            <w:pPr>
              <w:jc w:val="both"/>
              <w:rPr>
                <w:rFonts w:hint="eastAsia" w:ascii="楷体" w:hAnsi="楷体" w:eastAsia="楷体"/>
                <w:snapToGrid w:val="0"/>
                <w:color w:val="000000"/>
                <w:szCs w:val="24"/>
              </w:rPr>
            </w:pPr>
            <w:r>
              <w:rPr>
                <w:rFonts w:ascii="楷体" w:hAnsi="楷体" w:eastAsia="楷体"/>
                <w:snapToGrid w:val="0"/>
                <w:color w:val="000000"/>
                <w:szCs w:val="24"/>
              </w:rPr>
              <w:t>(实际销售收入/计划销售收入)*100%</w:t>
            </w:r>
          </w:p>
        </w:tc>
        <w:tc>
          <w:tcPr>
            <w:tcW w:w="3186" w:type="dxa"/>
            <w:noWrap w:val="0"/>
            <w:vAlign w:val="top"/>
          </w:tcPr>
          <w:p>
            <w:pPr>
              <w:jc w:val="both"/>
              <w:rPr>
                <w:rFonts w:hint="eastAsia" w:ascii="楷体" w:hAnsi="楷体" w:eastAsia="楷体"/>
                <w:color w:val="000000"/>
                <w:szCs w:val="24"/>
              </w:rPr>
            </w:pPr>
            <w:r>
              <w:rPr>
                <w:rFonts w:ascii="楷体" w:hAnsi="楷体" w:eastAsia="楷体"/>
                <w:color w:val="000000"/>
                <w:szCs w:val="24"/>
              </w:rPr>
              <w:t>销售月报表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全部账户净投资收益率</w:t>
            </w:r>
            <w:r>
              <w:rPr>
                <w:rFonts w:ascii="楷体" w:hAnsi="楷体" w:eastAsia="楷体"/>
                <w:color w:val="000000"/>
                <w:szCs w:val="24"/>
              </w:rPr>
              <w:t>/</w:t>
            </w:r>
            <w:r>
              <w:rPr>
                <w:rFonts w:hint="eastAsia" w:ascii="楷体" w:hAnsi="楷体" w:eastAsia="楷体"/>
                <w:color w:val="000000"/>
                <w:szCs w:val="24"/>
              </w:rPr>
              <w:t>同期 B</w:t>
            </w:r>
            <w:r>
              <w:rPr>
                <w:rFonts w:ascii="楷体" w:hAnsi="楷体" w:eastAsia="楷体"/>
                <w:color w:val="000000"/>
                <w:szCs w:val="24"/>
              </w:rPr>
              <w:t>enchmark</w:t>
            </w:r>
          </w:p>
          <w:p>
            <w:pPr>
              <w:jc w:val="both"/>
              <w:rPr>
                <w:rFonts w:ascii="楷体" w:hAnsi="楷体" w:eastAsia="楷体"/>
                <w:color w:val="000000"/>
                <w:szCs w:val="24"/>
              </w:rPr>
            </w:pP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全部帐户净投资收益率</w:t>
            </w:r>
            <w:r>
              <w:rPr>
                <w:rFonts w:ascii="楷体" w:hAnsi="楷体" w:eastAsia="楷体"/>
                <w:color w:val="000000"/>
                <w:szCs w:val="24"/>
              </w:rPr>
              <w:t>/</w:t>
            </w:r>
            <w:r>
              <w:rPr>
                <w:rFonts w:hint="eastAsia" w:ascii="楷体" w:hAnsi="楷体" w:eastAsia="楷体"/>
                <w:color w:val="000000"/>
                <w:szCs w:val="24"/>
              </w:rPr>
              <w:t>投资委员会选择的市场基准收益率（</w:t>
            </w:r>
            <w:r>
              <w:rPr>
                <w:rFonts w:ascii="楷体" w:hAnsi="楷体" w:eastAsia="楷体"/>
                <w:color w:val="000000"/>
                <w:szCs w:val="24"/>
              </w:rPr>
              <w:t>Benchmark</w:t>
            </w:r>
            <w:r>
              <w:rPr>
                <w:rFonts w:hint="eastAsia" w:ascii="楷体" w:hAnsi="楷体" w:eastAsia="楷体"/>
                <w:color w:val="000000"/>
                <w:szCs w:val="24"/>
              </w:rPr>
              <w:t>=国债指数、企业债指数、封闭式基金指数、</w:t>
            </w:r>
            <w:r>
              <w:rPr>
                <w:rFonts w:ascii="楷体" w:hAnsi="楷体" w:eastAsia="楷体"/>
                <w:color w:val="000000"/>
                <w:szCs w:val="24"/>
              </w:rPr>
              <w:t>LIBOR</w:t>
            </w:r>
            <w:r>
              <w:rPr>
                <w:rFonts w:hint="eastAsia" w:ascii="楷体" w:hAnsi="楷体" w:eastAsia="楷体"/>
                <w:color w:val="000000"/>
                <w:szCs w:val="24"/>
              </w:rPr>
              <w:t>、</w:t>
            </w:r>
            <w:r>
              <w:rPr>
                <w:rFonts w:ascii="楷体" w:hAnsi="楷体" w:eastAsia="楷体"/>
                <w:color w:val="000000"/>
                <w:szCs w:val="24"/>
              </w:rPr>
              <w:t>CFO</w:t>
            </w:r>
            <w:r>
              <w:rPr>
                <w:rFonts w:hint="eastAsia" w:ascii="楷体" w:hAnsi="楷体" w:eastAsia="楷体"/>
                <w:color w:val="000000"/>
                <w:szCs w:val="24"/>
              </w:rPr>
              <w:t>评估的</w:t>
            </w:r>
            <w:r>
              <w:rPr>
                <w:rFonts w:ascii="楷体" w:hAnsi="楷体" w:eastAsia="楷体"/>
                <w:color w:val="000000"/>
                <w:szCs w:val="24"/>
              </w:rPr>
              <w:t>CD</w:t>
            </w:r>
            <w:r>
              <w:rPr>
                <w:rFonts w:hint="eastAsia" w:ascii="楷体" w:hAnsi="楷体" w:eastAsia="楷体"/>
                <w:color w:val="000000"/>
                <w:szCs w:val="24"/>
              </w:rPr>
              <w:t>基准利率按计划的可投资比例加权的同期收益率</w:t>
            </w:r>
            <w:r>
              <w:rPr>
                <w:rFonts w:ascii="楷体" w:hAnsi="楷体" w:eastAsia="楷体"/>
                <w:color w:val="000000"/>
                <w:szCs w:val="24"/>
              </w:rPr>
              <w:t>)</w:t>
            </w:r>
          </w:p>
          <w:p>
            <w:pPr>
              <w:jc w:val="both"/>
              <w:rPr>
                <w:rFonts w:ascii="楷体" w:hAnsi="楷体" w:eastAsia="楷体"/>
                <w:color w:val="000000"/>
                <w:szCs w:val="24"/>
              </w:rPr>
            </w:pP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r>
              <w:rPr>
                <w:rFonts w:ascii="楷体" w:hAnsi="楷体" w:eastAsia="楷体"/>
                <w:color w:val="000000"/>
                <w:szCs w:val="24"/>
              </w:rPr>
              <w:t>/</w:t>
            </w:r>
            <w:r>
              <w:rPr>
                <w:rFonts w:hint="eastAsia" w:ascii="楷体" w:hAnsi="楷体" w:eastAsia="楷体"/>
                <w:color w:val="000000"/>
                <w:szCs w:val="24"/>
              </w:rPr>
              <w:t>证券市场公布数据</w:t>
            </w:r>
          </w:p>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投资收益率计划达成率</w:t>
            </w:r>
            <w:r>
              <w:rPr>
                <w:rFonts w:ascii="楷体" w:hAnsi="楷体" w:eastAsia="楷体"/>
                <w:color w:val="000000"/>
                <w:szCs w:val="24"/>
              </w:rPr>
              <w:t>(</w:t>
            </w:r>
            <w:r>
              <w:rPr>
                <w:rFonts w:hint="eastAsia" w:ascii="楷体" w:hAnsi="楷体" w:eastAsia="楷体"/>
                <w:color w:val="000000"/>
                <w:szCs w:val="24"/>
              </w:rPr>
              <w:t>董事会批准的年度计划收益率</w:t>
            </w:r>
            <w:r>
              <w:rPr>
                <w:rFonts w:ascii="楷体" w:hAnsi="楷体" w:eastAsia="楷体"/>
                <w:color w:val="000000"/>
                <w:szCs w:val="24"/>
              </w:rPr>
              <w:t>)</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全部帐户净投资收益率</w:t>
            </w:r>
            <w:r>
              <w:rPr>
                <w:rFonts w:ascii="楷体" w:hAnsi="楷体" w:eastAsia="楷体"/>
                <w:color w:val="000000"/>
                <w:szCs w:val="24"/>
              </w:rPr>
              <w:t>/</w:t>
            </w:r>
            <w:r>
              <w:rPr>
                <w:rFonts w:hint="eastAsia" w:ascii="楷体" w:hAnsi="楷体" w:eastAsia="楷体"/>
                <w:color w:val="000000"/>
                <w:szCs w:val="24"/>
              </w:rPr>
              <w:t>董事会批准及不时调整的的年度投资计划</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不良帐款比率</w:t>
            </w:r>
            <w:r>
              <w:rPr>
                <w:rFonts w:ascii="楷体" w:hAnsi="楷体" w:eastAsia="楷体"/>
                <w:color w:val="000000"/>
                <w:szCs w:val="24"/>
              </w:rPr>
              <w:t>/Benchmark</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按照中央银行贷款分类标准逾期不能收回的资产占可投资资产的比重</w:t>
            </w:r>
            <w:r>
              <w:rPr>
                <w:rFonts w:ascii="楷体" w:hAnsi="楷体" w:eastAsia="楷体"/>
                <w:color w:val="000000"/>
                <w:szCs w:val="24"/>
              </w:rPr>
              <w:t>/</w:t>
            </w:r>
            <w:r>
              <w:rPr>
                <w:rFonts w:hint="eastAsia" w:ascii="楷体" w:hAnsi="楷体" w:eastAsia="楷体"/>
                <w:color w:val="000000"/>
                <w:szCs w:val="24"/>
              </w:rPr>
              <w:t>年初投资委员会确定的基准</w:t>
            </w:r>
          </w:p>
          <w:p>
            <w:pPr>
              <w:jc w:val="both"/>
              <w:rPr>
                <w:rFonts w:ascii="楷体" w:hAnsi="楷体" w:eastAsia="楷体"/>
                <w:color w:val="000000"/>
                <w:szCs w:val="24"/>
              </w:rPr>
            </w:pPr>
            <w:r>
              <w:rPr>
                <w:rFonts w:ascii="楷体" w:hAnsi="楷体" w:eastAsia="楷体"/>
                <w:color w:val="000000"/>
                <w:szCs w:val="24"/>
              </w:rPr>
              <w:t>(Benchmark</w:t>
            </w:r>
            <w:r>
              <w:rPr>
                <w:rFonts w:hint="eastAsia" w:ascii="楷体" w:hAnsi="楷体" w:eastAsia="楷体"/>
                <w:color w:val="000000"/>
                <w:szCs w:val="24"/>
              </w:rPr>
              <w:t>=投资委员会年初批准的比例</w:t>
            </w:r>
            <w:r>
              <w:rPr>
                <w:rFonts w:ascii="楷体" w:hAnsi="楷体" w:eastAsia="楷体"/>
                <w:color w:val="000000"/>
                <w:szCs w:val="24"/>
              </w:rPr>
              <w:t>)</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(普通账户债券投资</w:t>
            </w:r>
            <w:r>
              <w:rPr>
                <w:rFonts w:ascii="楷体" w:hAnsi="楷体" w:eastAsia="楷体"/>
                <w:color w:val="000000"/>
                <w:szCs w:val="24"/>
              </w:rPr>
              <w:t>+</w:t>
            </w:r>
            <w:r>
              <w:rPr>
                <w:rFonts w:hint="eastAsia" w:ascii="楷体" w:hAnsi="楷体" w:eastAsia="楷体"/>
                <w:color w:val="000000"/>
                <w:szCs w:val="24"/>
              </w:rPr>
              <w:t>全部账户直接投资净投资收益率)</w:t>
            </w:r>
            <w:r>
              <w:rPr>
                <w:rFonts w:ascii="楷体" w:hAnsi="楷体" w:eastAsia="楷体"/>
                <w:color w:val="000000"/>
                <w:szCs w:val="24"/>
              </w:rPr>
              <w:t>/</w:t>
            </w:r>
            <w:r>
              <w:rPr>
                <w:rFonts w:hint="eastAsia" w:ascii="楷体" w:hAnsi="楷体" w:eastAsia="楷体"/>
                <w:color w:val="000000"/>
                <w:szCs w:val="24"/>
              </w:rPr>
              <w:t>同期</w:t>
            </w:r>
            <w:r>
              <w:rPr>
                <w:rFonts w:ascii="楷体" w:hAnsi="楷体" w:eastAsia="楷体"/>
                <w:color w:val="000000"/>
                <w:szCs w:val="24"/>
              </w:rPr>
              <w:t>Benchmark</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所管辖帐户净投资收益率</w:t>
            </w:r>
            <w:r>
              <w:rPr>
                <w:rFonts w:ascii="楷体" w:hAnsi="楷体" w:eastAsia="楷体"/>
                <w:color w:val="000000"/>
                <w:szCs w:val="24"/>
              </w:rPr>
              <w:t>/</w:t>
            </w:r>
            <w:r>
              <w:rPr>
                <w:rFonts w:hint="eastAsia" w:ascii="楷体" w:hAnsi="楷体" w:eastAsia="楷体"/>
                <w:color w:val="000000"/>
                <w:szCs w:val="24"/>
              </w:rPr>
              <w:t>总经理选择的市场基准收益率</w:t>
            </w:r>
          </w:p>
          <w:p>
            <w:pPr>
              <w:jc w:val="both"/>
              <w:rPr>
                <w:rFonts w:ascii="楷体" w:hAnsi="楷体" w:eastAsia="楷体"/>
                <w:color w:val="000000"/>
                <w:szCs w:val="24"/>
              </w:rPr>
            </w:pPr>
            <w:r>
              <w:rPr>
                <w:rFonts w:ascii="楷体" w:hAnsi="楷体" w:eastAsia="楷体"/>
                <w:color w:val="000000"/>
                <w:szCs w:val="24"/>
              </w:rPr>
              <w:t>(Benchmark</w:t>
            </w:r>
            <w:r>
              <w:rPr>
                <w:rFonts w:hint="eastAsia" w:ascii="楷体" w:hAnsi="楷体" w:eastAsia="楷体"/>
                <w:color w:val="000000"/>
                <w:szCs w:val="24"/>
              </w:rPr>
              <w:t>=国债指数、企业债指数、</w:t>
            </w:r>
            <w:r>
              <w:rPr>
                <w:rFonts w:ascii="楷体" w:hAnsi="楷体" w:eastAsia="楷体"/>
                <w:color w:val="000000"/>
                <w:szCs w:val="24"/>
              </w:rPr>
              <w:t>LIBOR</w:t>
            </w:r>
            <w:r>
              <w:rPr>
                <w:rFonts w:hint="eastAsia" w:ascii="楷体" w:hAnsi="楷体" w:eastAsia="楷体"/>
                <w:color w:val="000000"/>
                <w:szCs w:val="24"/>
              </w:rPr>
              <w:t>、</w:t>
            </w:r>
            <w:r>
              <w:rPr>
                <w:rFonts w:ascii="楷体" w:hAnsi="楷体" w:eastAsia="楷体"/>
                <w:color w:val="000000"/>
                <w:szCs w:val="24"/>
              </w:rPr>
              <w:t>CFO</w:t>
            </w:r>
            <w:r>
              <w:rPr>
                <w:rFonts w:hint="eastAsia" w:ascii="楷体" w:hAnsi="楷体" w:eastAsia="楷体"/>
                <w:color w:val="000000"/>
                <w:szCs w:val="24"/>
              </w:rPr>
              <w:t>评估的</w:t>
            </w:r>
            <w:r>
              <w:rPr>
                <w:rFonts w:ascii="楷体" w:hAnsi="楷体" w:eastAsia="楷体"/>
                <w:color w:val="000000"/>
                <w:szCs w:val="24"/>
              </w:rPr>
              <w:t>CD</w:t>
            </w:r>
            <w:r>
              <w:rPr>
                <w:rFonts w:hint="eastAsia" w:ascii="楷体" w:hAnsi="楷体" w:eastAsia="楷体"/>
                <w:color w:val="000000"/>
                <w:szCs w:val="24"/>
              </w:rPr>
              <w:t>基准利率按计划的可投资比例加权的同期收益率</w:t>
            </w:r>
            <w:r>
              <w:rPr>
                <w:rFonts w:ascii="楷体" w:hAnsi="楷体" w:eastAsia="楷体"/>
                <w:color w:val="000000"/>
                <w:szCs w:val="24"/>
              </w:rPr>
              <w:t>)</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普通账户基金投资净投资收益率</w:t>
            </w:r>
            <w:r>
              <w:rPr>
                <w:rFonts w:ascii="楷体" w:hAnsi="楷体" w:eastAsia="楷体"/>
                <w:color w:val="000000"/>
                <w:szCs w:val="24"/>
              </w:rPr>
              <w:t>/</w:t>
            </w:r>
            <w:r>
              <w:rPr>
                <w:rFonts w:hint="eastAsia" w:ascii="楷体" w:hAnsi="楷体" w:eastAsia="楷体"/>
                <w:color w:val="000000"/>
                <w:szCs w:val="24"/>
              </w:rPr>
              <w:t>同期</w:t>
            </w:r>
            <w:r>
              <w:rPr>
                <w:rFonts w:ascii="楷体" w:hAnsi="楷体" w:eastAsia="楷体"/>
                <w:color w:val="000000"/>
                <w:szCs w:val="24"/>
              </w:rPr>
              <w:t>Benchmark</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所管辖帐户净投资收益率</w:t>
            </w:r>
            <w:r>
              <w:rPr>
                <w:rFonts w:ascii="楷体" w:hAnsi="楷体" w:eastAsia="楷体"/>
                <w:color w:val="000000"/>
                <w:szCs w:val="24"/>
              </w:rPr>
              <w:t>/</w:t>
            </w:r>
            <w:r>
              <w:rPr>
                <w:rFonts w:hint="eastAsia" w:ascii="楷体" w:hAnsi="楷体" w:eastAsia="楷体"/>
                <w:color w:val="000000"/>
                <w:szCs w:val="24"/>
              </w:rPr>
              <w:t>总经理选择的市场基准收益率</w:t>
            </w:r>
          </w:p>
          <w:p>
            <w:pPr>
              <w:jc w:val="both"/>
              <w:rPr>
                <w:rFonts w:ascii="楷体" w:hAnsi="楷体" w:eastAsia="楷体"/>
                <w:color w:val="000000"/>
                <w:szCs w:val="24"/>
              </w:rPr>
            </w:pPr>
            <w:r>
              <w:rPr>
                <w:rFonts w:ascii="楷体" w:hAnsi="楷体" w:eastAsia="楷体"/>
                <w:color w:val="000000"/>
                <w:szCs w:val="24"/>
              </w:rPr>
              <w:t>(Benchmark</w:t>
            </w:r>
            <w:r>
              <w:rPr>
                <w:rFonts w:hint="eastAsia" w:ascii="楷体" w:hAnsi="楷体" w:eastAsia="楷体"/>
                <w:color w:val="000000"/>
                <w:szCs w:val="24"/>
              </w:rPr>
              <w:t>=同期封闭式基金指数收益率</w:t>
            </w:r>
            <w:r>
              <w:rPr>
                <w:rFonts w:ascii="楷体" w:hAnsi="楷体" w:eastAsia="楷体"/>
                <w:color w:val="000000"/>
                <w:szCs w:val="24"/>
              </w:rPr>
              <w:t>)</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全部独立账户直接投资净投资收益率</w:t>
            </w:r>
            <w:r>
              <w:rPr>
                <w:rFonts w:ascii="楷体" w:hAnsi="楷体" w:eastAsia="楷体"/>
                <w:color w:val="000000"/>
                <w:szCs w:val="24"/>
              </w:rPr>
              <w:t>/</w:t>
            </w:r>
            <w:r>
              <w:rPr>
                <w:rFonts w:hint="eastAsia" w:ascii="楷体" w:hAnsi="楷体" w:eastAsia="楷体"/>
                <w:color w:val="000000"/>
                <w:szCs w:val="24"/>
              </w:rPr>
              <w:t>同期</w:t>
            </w:r>
            <w:r>
              <w:rPr>
                <w:rFonts w:ascii="楷体" w:hAnsi="楷体" w:eastAsia="楷体"/>
                <w:color w:val="000000"/>
                <w:szCs w:val="24"/>
              </w:rPr>
              <w:t>Benchmark</w:t>
            </w:r>
          </w:p>
          <w:p>
            <w:pPr>
              <w:jc w:val="both"/>
              <w:rPr>
                <w:rFonts w:ascii="楷体" w:hAnsi="楷体" w:eastAsia="楷体"/>
                <w:color w:val="000000"/>
                <w:szCs w:val="24"/>
              </w:rPr>
            </w:pP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所管辖帐户净投资收益率</w:t>
            </w:r>
            <w:r>
              <w:rPr>
                <w:rFonts w:ascii="楷体" w:hAnsi="楷体" w:eastAsia="楷体"/>
                <w:color w:val="000000"/>
                <w:szCs w:val="24"/>
              </w:rPr>
              <w:t>/</w:t>
            </w:r>
            <w:r>
              <w:rPr>
                <w:rFonts w:hint="eastAsia" w:ascii="楷体" w:hAnsi="楷体" w:eastAsia="楷体"/>
                <w:color w:val="000000"/>
                <w:szCs w:val="24"/>
              </w:rPr>
              <w:t>总经理选择的市场基准收益率</w:t>
            </w:r>
          </w:p>
          <w:p>
            <w:pPr>
              <w:jc w:val="both"/>
              <w:rPr>
                <w:rFonts w:ascii="楷体" w:hAnsi="楷体" w:eastAsia="楷体"/>
                <w:color w:val="000000"/>
                <w:szCs w:val="24"/>
              </w:rPr>
            </w:pPr>
            <w:r>
              <w:rPr>
                <w:rFonts w:ascii="楷体" w:hAnsi="楷体" w:eastAsia="楷体"/>
                <w:color w:val="000000"/>
                <w:szCs w:val="24"/>
              </w:rPr>
              <w:t>(Benchmark</w:t>
            </w:r>
            <w:r>
              <w:rPr>
                <w:rFonts w:hint="eastAsia" w:ascii="楷体" w:hAnsi="楷体" w:eastAsia="楷体"/>
                <w:color w:val="000000"/>
                <w:szCs w:val="24"/>
              </w:rPr>
              <w:t>=同期国债指数、企业债指数、封闭式基金指数及</w:t>
            </w:r>
            <w:r>
              <w:rPr>
                <w:rFonts w:ascii="楷体" w:hAnsi="楷体" w:eastAsia="楷体"/>
                <w:color w:val="000000"/>
                <w:szCs w:val="24"/>
              </w:rPr>
              <w:t>CD</w:t>
            </w:r>
            <w:r>
              <w:rPr>
                <w:rFonts w:hint="eastAsia" w:ascii="楷体" w:hAnsi="楷体" w:eastAsia="楷体"/>
                <w:color w:val="000000"/>
                <w:szCs w:val="24"/>
              </w:rPr>
              <w:t>基准利率按可投资比例加权的同期收益率</w:t>
            </w:r>
            <w:r>
              <w:rPr>
                <w:rFonts w:ascii="楷体" w:hAnsi="楷体" w:eastAsia="楷体"/>
                <w:color w:val="000000"/>
                <w:szCs w:val="24"/>
              </w:rPr>
              <w:t>)</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所负责项目的净投资收益率</w:t>
            </w:r>
            <w:r>
              <w:rPr>
                <w:rFonts w:ascii="楷体" w:hAnsi="楷体" w:eastAsia="楷体"/>
                <w:color w:val="000000"/>
                <w:szCs w:val="24"/>
              </w:rPr>
              <w:t>/</w:t>
            </w:r>
            <w:r>
              <w:rPr>
                <w:rFonts w:hint="eastAsia" w:ascii="楷体" w:hAnsi="楷体" w:eastAsia="楷体"/>
                <w:color w:val="000000"/>
                <w:szCs w:val="24"/>
              </w:rPr>
              <w:t>同期</w:t>
            </w:r>
            <w:r>
              <w:rPr>
                <w:rFonts w:ascii="楷体" w:hAnsi="楷体" w:eastAsia="楷体"/>
                <w:color w:val="000000"/>
                <w:szCs w:val="24"/>
              </w:rPr>
              <w:t>Benchmark</w:t>
            </w:r>
          </w:p>
          <w:p>
            <w:pPr>
              <w:jc w:val="both"/>
              <w:rPr>
                <w:rFonts w:ascii="楷体" w:hAnsi="楷体" w:eastAsia="楷体"/>
                <w:color w:val="000000"/>
                <w:szCs w:val="24"/>
              </w:rPr>
            </w:pP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所管辖帐户净投资收益率</w:t>
            </w:r>
            <w:r>
              <w:rPr>
                <w:rFonts w:ascii="楷体" w:hAnsi="楷体" w:eastAsia="楷体"/>
                <w:color w:val="000000"/>
                <w:szCs w:val="24"/>
              </w:rPr>
              <w:t>/</w:t>
            </w:r>
            <w:r>
              <w:rPr>
                <w:rFonts w:hint="eastAsia" w:ascii="楷体" w:hAnsi="楷体" w:eastAsia="楷体"/>
                <w:color w:val="000000"/>
                <w:szCs w:val="24"/>
              </w:rPr>
              <w:t>总经理选择的市场基准收益率</w:t>
            </w:r>
          </w:p>
          <w:p>
            <w:pPr>
              <w:jc w:val="both"/>
              <w:rPr>
                <w:rFonts w:ascii="楷体" w:hAnsi="楷体" w:eastAsia="楷体"/>
                <w:color w:val="000000"/>
                <w:szCs w:val="24"/>
              </w:rPr>
            </w:pPr>
            <w:r>
              <w:rPr>
                <w:rFonts w:ascii="楷体" w:hAnsi="楷体" w:eastAsia="楷体"/>
                <w:color w:val="000000"/>
                <w:szCs w:val="24"/>
              </w:rPr>
              <w:t>(Benchmark</w:t>
            </w:r>
            <w:r>
              <w:rPr>
                <w:rFonts w:hint="eastAsia" w:ascii="楷体" w:hAnsi="楷体" w:eastAsia="楷体"/>
                <w:color w:val="000000"/>
                <w:szCs w:val="24"/>
              </w:rPr>
              <w:t>=相应项目的指数同期收益率水平</w:t>
            </w:r>
            <w:r>
              <w:rPr>
                <w:rFonts w:ascii="楷体" w:hAnsi="楷体" w:eastAsia="楷体"/>
                <w:color w:val="000000"/>
                <w:szCs w:val="24"/>
              </w:rPr>
              <w:t>)</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投资收益率计划达成率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所管辖帐户净投资收益率</w:t>
            </w:r>
            <w:r>
              <w:rPr>
                <w:rFonts w:ascii="楷体" w:hAnsi="楷体" w:eastAsia="楷体"/>
                <w:color w:val="000000"/>
                <w:szCs w:val="24"/>
              </w:rPr>
              <w:t>/</w:t>
            </w:r>
            <w:r>
              <w:rPr>
                <w:rFonts w:hint="eastAsia" w:ascii="楷体" w:hAnsi="楷体" w:eastAsia="楷体"/>
                <w:color w:val="000000"/>
                <w:szCs w:val="24"/>
              </w:rPr>
              <w:t>总经理批准及不时调整的的年度投资计划</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销售目标达成率(资产管理中心)</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(实际直接销售资产管理产品收入</w:t>
            </w:r>
            <w:r>
              <w:rPr>
                <w:rFonts w:ascii="楷体" w:hAnsi="楷体" w:eastAsia="楷体"/>
                <w:color w:val="000000"/>
                <w:szCs w:val="24"/>
              </w:rPr>
              <w:t>/</w:t>
            </w:r>
            <w:r>
              <w:rPr>
                <w:rFonts w:hint="eastAsia" w:ascii="楷体" w:hAnsi="楷体" w:eastAsia="楷体"/>
                <w:color w:val="000000"/>
                <w:szCs w:val="24"/>
              </w:rPr>
              <w:t>计划收入)*100%</w:t>
            </w:r>
          </w:p>
        </w:tc>
        <w:tc>
          <w:tcPr>
            <w:tcW w:w="31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w:t>
            </w:r>
          </w:p>
        </w:tc>
      </w:tr>
    </w:tbl>
    <w:p>
      <w:pPr>
        <w:jc w:val="center"/>
        <w:rPr>
          <w:rFonts w:hint="eastAsia" w:ascii="楷体" w:hAnsi="楷体" w:eastAsia="楷体"/>
          <w:color w:val="000000"/>
          <w:szCs w:val="32"/>
        </w:rPr>
      </w:pPr>
      <w:r>
        <w:rPr>
          <w:rFonts w:ascii="楷体" w:hAnsi="楷体" w:eastAsia="楷体"/>
          <w:color w:val="000000"/>
          <w:szCs w:val="24"/>
        </w:rPr>
        <w:br w:type="page"/>
      </w:r>
      <w:r>
        <w:rPr>
          <w:rFonts w:hint="eastAsia" w:ascii="楷体" w:hAnsi="楷体" w:eastAsia="楷体"/>
          <w:b/>
          <w:color w:val="000000"/>
          <w:sz w:val="28"/>
          <w:szCs w:val="32"/>
        </w:rPr>
        <w:t>客户类指标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6300"/>
        <w:gridCol w:w="3016"/>
      </w:tblGrid>
      <w:tr>
        <w:trPr>
          <w:trHeight w:val="431" w:hRule="atLeast"/>
          <w:jc w:val="center"/>
        </w:trPr>
        <w:tc>
          <w:tcPr>
            <w:tcW w:w="4068" w:type="dxa"/>
            <w:shd w:val="clear" w:color="auto" w:fill="FFFF00"/>
            <w:noWrap w:val="0"/>
            <w:vAlign w:val="top"/>
          </w:tcPr>
          <w:p>
            <w:pPr>
              <w:pStyle w:val="5"/>
              <w:tabs>
                <w:tab w:val="clear" w:pos="4320"/>
                <w:tab w:val="clear" w:pos="8640"/>
              </w:tabs>
              <w:jc w:val="center"/>
              <w:rPr>
                <w:rFonts w:hint="eastAsia" w:ascii="楷体" w:hAnsi="楷体" w:eastAsia="楷体"/>
                <w:color w:val="000000"/>
                <w:szCs w:val="24"/>
                <w:highlight w:val="yellow"/>
              </w:rPr>
            </w:pPr>
            <w:r>
              <w:rPr>
                <w:rFonts w:hint="eastAsia" w:ascii="楷体" w:hAnsi="楷体" w:eastAsia="楷体"/>
                <w:color w:val="000000"/>
                <w:szCs w:val="24"/>
                <w:highlight w:val="yellow"/>
              </w:rPr>
              <w:t>关键绩效指标</w:t>
            </w:r>
          </w:p>
        </w:tc>
        <w:tc>
          <w:tcPr>
            <w:tcW w:w="6300" w:type="dxa"/>
            <w:shd w:val="clear" w:color="auto" w:fill="FFFF00"/>
            <w:noWrap w:val="0"/>
            <w:vAlign w:val="top"/>
          </w:tcPr>
          <w:p>
            <w:pPr>
              <w:jc w:val="center"/>
              <w:rPr>
                <w:rFonts w:hint="eastAsia" w:ascii="楷体" w:hAnsi="楷体" w:eastAsia="楷体"/>
                <w:color w:val="000000"/>
                <w:szCs w:val="24"/>
                <w:highlight w:val="yellow"/>
              </w:rPr>
            </w:pPr>
            <w:r>
              <w:rPr>
                <w:rFonts w:hint="eastAsia" w:ascii="楷体" w:hAnsi="楷体" w:eastAsia="楷体"/>
                <w:color w:val="000000"/>
                <w:szCs w:val="24"/>
                <w:highlight w:val="yellow"/>
              </w:rPr>
              <w:t>指标定义/计算公式</w:t>
            </w:r>
          </w:p>
        </w:tc>
        <w:tc>
          <w:tcPr>
            <w:tcW w:w="3016" w:type="dxa"/>
            <w:shd w:val="clear" w:color="auto" w:fill="FFFF00"/>
            <w:noWrap w:val="0"/>
            <w:vAlign w:val="top"/>
          </w:tcPr>
          <w:p>
            <w:pPr>
              <w:jc w:val="center"/>
              <w:rPr>
                <w:rFonts w:hint="eastAsia" w:ascii="楷体" w:hAnsi="楷体" w:eastAsia="楷体"/>
                <w:color w:val="000000"/>
                <w:szCs w:val="24"/>
                <w:highlight w:val="yellow"/>
              </w:rPr>
            </w:pPr>
            <w:r>
              <w:rPr>
                <w:rFonts w:hint="eastAsia" w:ascii="楷体" w:hAnsi="楷体" w:eastAsia="楷体"/>
                <w:color w:val="000000"/>
                <w:szCs w:val="24"/>
                <w:highlight w:val="yellow"/>
              </w:rPr>
              <w:t>数据来源</w:t>
            </w:r>
          </w:p>
        </w:tc>
      </w:tr>
      <w:tr>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包装水平客户满意度</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接受随机调研的客户对包装水平满意度评分的算术平均值</w:t>
            </w:r>
          </w:p>
        </w:tc>
        <w:tc>
          <w:tcPr>
            <w:tcW w:w="301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包装水平客户满意度调研</w:t>
            </w:r>
          </w:p>
        </w:tc>
      </w:tr>
      <w:tr>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某重点产品市场占有率</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平均值：产品市场销售额/市场容量</w:t>
            </w:r>
          </w:p>
        </w:tc>
        <w:tc>
          <w:tcPr>
            <w:tcW w:w="301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市场销售月报，市场资料</w:t>
            </w:r>
          </w:p>
        </w:tc>
      </w:tr>
      <w:tr>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rPr>
              <w:t>公共关系效果评定</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对与媒体、保险学会及社会的效果评定</w:t>
            </w:r>
          </w:p>
        </w:tc>
        <w:tc>
          <w:tcPr>
            <w:tcW w:w="301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上级领导评定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解决投诉率</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(解决的投诉数/投诉总数)*100%</w:t>
            </w:r>
          </w:p>
        </w:tc>
        <w:tc>
          <w:tcPr>
            <w:tcW w:w="301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投诉记录及投诉解决记录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客户投诉解决速度</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年客户投诉解决总时间/年解决投诉总数</w:t>
            </w:r>
          </w:p>
        </w:tc>
        <w:tc>
          <w:tcPr>
            <w:tcW w:w="301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营销计划达成率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(营销实际标保</w:t>
            </w:r>
            <w:r>
              <w:rPr>
                <w:rFonts w:ascii="楷体" w:hAnsi="楷体" w:eastAsia="楷体"/>
                <w:color w:val="000000"/>
                <w:szCs w:val="24"/>
              </w:rPr>
              <w:t>/</w:t>
            </w:r>
            <w:r>
              <w:rPr>
                <w:rFonts w:hint="eastAsia" w:ascii="楷体" w:hAnsi="楷体" w:eastAsia="楷体"/>
                <w:color w:val="000000"/>
                <w:szCs w:val="24"/>
              </w:rPr>
              <w:t>营销计划标保)*100%</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新契约保费市场占有率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(新契约标保</w:t>
            </w:r>
            <w:r>
              <w:rPr>
                <w:rFonts w:ascii="楷体" w:hAnsi="楷体" w:eastAsia="楷体"/>
                <w:color w:val="000000"/>
                <w:szCs w:val="24"/>
              </w:rPr>
              <w:t>/</w:t>
            </w:r>
            <w:r>
              <w:rPr>
                <w:rFonts w:hint="eastAsia" w:ascii="楷体" w:hAnsi="楷体" w:eastAsia="楷体"/>
                <w:color w:val="000000"/>
                <w:szCs w:val="24"/>
              </w:rPr>
              <w:t>新契约市场总容量)*100%</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新契约保费增长率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（本年度新契约标保</w:t>
            </w:r>
            <w:r>
              <w:rPr>
                <w:rFonts w:ascii="楷体" w:hAnsi="楷体" w:eastAsia="楷体"/>
                <w:color w:val="000000"/>
                <w:szCs w:val="24"/>
              </w:rPr>
              <w:t>-</w:t>
            </w:r>
            <w:r>
              <w:rPr>
                <w:rFonts w:hint="eastAsia" w:ascii="楷体" w:hAnsi="楷体" w:eastAsia="楷体"/>
                <w:color w:val="000000"/>
                <w:szCs w:val="24"/>
              </w:rPr>
              <w:t>上年度新契约标保）</w:t>
            </w:r>
            <w:r>
              <w:rPr>
                <w:rFonts w:ascii="楷体" w:hAnsi="楷体" w:eastAsia="楷体"/>
                <w:color w:val="000000"/>
                <w:szCs w:val="24"/>
              </w:rPr>
              <w:t>/</w:t>
            </w:r>
            <w:r>
              <w:rPr>
                <w:rFonts w:hint="eastAsia" w:ascii="楷体" w:hAnsi="楷体" w:eastAsia="楷体"/>
                <w:color w:val="000000"/>
                <w:szCs w:val="24"/>
              </w:rPr>
              <w:t>上年度新契约标保</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ascii="楷体" w:hAnsi="楷体" w:eastAsia="楷体"/>
                <w:color w:val="000000"/>
                <w:szCs w:val="24"/>
              </w:rPr>
              <w:t>13个月代理人留存率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(服务满</w:t>
            </w:r>
            <w:r>
              <w:rPr>
                <w:rFonts w:ascii="楷体" w:hAnsi="楷体" w:eastAsia="楷体"/>
                <w:color w:val="000000"/>
                <w:szCs w:val="24"/>
              </w:rPr>
              <w:t>12</w:t>
            </w:r>
            <w:r>
              <w:rPr>
                <w:rFonts w:hint="eastAsia" w:ascii="楷体" w:hAnsi="楷体" w:eastAsia="楷体"/>
                <w:color w:val="000000"/>
                <w:szCs w:val="24"/>
              </w:rPr>
              <w:t>个月的人数</w:t>
            </w:r>
            <w:r>
              <w:rPr>
                <w:rFonts w:ascii="楷体" w:hAnsi="楷体" w:eastAsia="楷体"/>
                <w:color w:val="000000"/>
                <w:szCs w:val="24"/>
              </w:rPr>
              <w:t>/12</w:t>
            </w:r>
            <w:r>
              <w:rPr>
                <w:rFonts w:hint="eastAsia" w:ascii="楷体" w:hAnsi="楷体" w:eastAsia="楷体"/>
                <w:color w:val="000000"/>
                <w:szCs w:val="24"/>
              </w:rPr>
              <w:t>个月前入司的人数)*100%</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续期任务达成率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二次达成率</w:t>
            </w:r>
            <w:r>
              <w:rPr>
                <w:rFonts w:ascii="楷体" w:hAnsi="楷体" w:eastAsia="楷体"/>
                <w:color w:val="000000"/>
                <w:szCs w:val="24"/>
              </w:rPr>
              <w:t>=</w:t>
            </w:r>
            <w:r>
              <w:rPr>
                <w:rFonts w:hint="eastAsia" w:ascii="楷体" w:hAnsi="楷体" w:eastAsia="楷体"/>
                <w:color w:val="000000"/>
                <w:szCs w:val="24"/>
              </w:rPr>
              <w:t>宽限期未实收的二次保费</w:t>
            </w:r>
            <w:r>
              <w:rPr>
                <w:rFonts w:ascii="楷体" w:hAnsi="楷体" w:eastAsia="楷体"/>
                <w:color w:val="000000"/>
                <w:szCs w:val="24"/>
              </w:rPr>
              <w:t>/</w:t>
            </w:r>
            <w:r>
              <w:rPr>
                <w:rFonts w:hint="eastAsia" w:ascii="楷体" w:hAnsi="楷体" w:eastAsia="楷体"/>
                <w:color w:val="000000"/>
                <w:szCs w:val="24"/>
              </w:rPr>
              <w:t>考核期间应收的二次保费；三次达成率</w:t>
            </w:r>
            <w:r>
              <w:rPr>
                <w:rFonts w:ascii="楷体" w:hAnsi="楷体" w:eastAsia="楷体"/>
                <w:color w:val="000000"/>
                <w:szCs w:val="24"/>
              </w:rPr>
              <w:t>=</w:t>
            </w:r>
            <w:r>
              <w:rPr>
                <w:rFonts w:hint="eastAsia" w:ascii="楷体" w:hAnsi="楷体" w:eastAsia="楷体"/>
                <w:color w:val="000000"/>
                <w:szCs w:val="24"/>
              </w:rPr>
              <w:t>宽限期未实收三次保费</w:t>
            </w:r>
            <w:r>
              <w:rPr>
                <w:rFonts w:ascii="楷体" w:hAnsi="楷体" w:eastAsia="楷体"/>
                <w:color w:val="000000"/>
                <w:szCs w:val="24"/>
              </w:rPr>
              <w:t>/</w:t>
            </w:r>
            <w:r>
              <w:rPr>
                <w:rFonts w:hint="eastAsia" w:ascii="楷体" w:hAnsi="楷体" w:eastAsia="楷体"/>
                <w:color w:val="000000"/>
                <w:szCs w:val="24"/>
              </w:rPr>
              <w:t>考核期间应收的三次保费</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信息技术部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续保率</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(续保实收首期件数</w:t>
            </w:r>
            <w:r>
              <w:rPr>
                <w:rFonts w:ascii="楷体" w:hAnsi="楷体" w:eastAsia="楷体"/>
                <w:color w:val="000000"/>
                <w:szCs w:val="24"/>
              </w:rPr>
              <w:t>/</w:t>
            </w:r>
            <w:r>
              <w:rPr>
                <w:rFonts w:hint="eastAsia" w:ascii="楷体" w:hAnsi="楷体" w:eastAsia="楷体"/>
                <w:color w:val="000000"/>
                <w:szCs w:val="24"/>
              </w:rPr>
              <w:t>续保应收首期件数)</w:t>
            </w:r>
          </w:p>
          <w:p>
            <w:pPr>
              <w:jc w:val="both"/>
              <w:rPr>
                <w:rFonts w:ascii="楷体" w:hAnsi="楷体" w:eastAsia="楷体"/>
                <w:color w:val="000000"/>
                <w:szCs w:val="24"/>
              </w:rPr>
            </w:pPr>
            <w:r>
              <w:rPr>
                <w:rFonts w:hint="eastAsia" w:ascii="楷体" w:hAnsi="楷体" w:eastAsia="楷体"/>
                <w:color w:val="000000"/>
                <w:szCs w:val="24"/>
              </w:rPr>
              <w:t>*100%</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出租率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出租的面积</w:t>
            </w:r>
            <w:r>
              <w:rPr>
                <w:rFonts w:ascii="楷体" w:hAnsi="楷体" w:eastAsia="楷体"/>
                <w:color w:val="000000"/>
                <w:szCs w:val="24"/>
              </w:rPr>
              <w:t>/</w:t>
            </w:r>
            <w:r>
              <w:rPr>
                <w:rFonts w:hint="eastAsia" w:ascii="楷体" w:hAnsi="楷体" w:eastAsia="楷体"/>
                <w:color w:val="000000"/>
                <w:szCs w:val="24"/>
              </w:rPr>
              <w:t>应出租的面积</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物控中心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市场知名度</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接受随机调查的客户对公司知名度评分的算术平均值</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媒体正面爆光次数</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在公众媒体上发表宣传公司的新闻报道及宣传广告的次数</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公众媒体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危机公关出现次数及处理情况</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总公司级危机事件在中央级、全国性媒体出现的产生重大负面影响的报导次数及处理情况</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公众媒体、上级领导评价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公共关系维护状况评定</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与媒体、保险学会及社会保持良好沟通和合作的状况</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网站用户满意度</w:t>
            </w:r>
          </w:p>
        </w:tc>
        <w:tc>
          <w:tcPr>
            <w:tcW w:w="6300" w:type="dxa"/>
            <w:noWrap w:val="0"/>
            <w:vAlign w:val="top"/>
          </w:tcPr>
          <w:p>
            <w:pPr>
              <w:jc w:val="both"/>
              <w:rPr>
                <w:rFonts w:hint="eastAsia" w:ascii="楷体" w:hAnsi="楷体" w:eastAsia="楷体"/>
                <w:color w:val="000000"/>
                <w:szCs w:val="24"/>
              </w:rPr>
            </w:pPr>
            <w:r>
              <w:rPr>
                <w:rFonts w:ascii="楷体" w:hAnsi="楷体" w:eastAsia="楷体"/>
                <w:color w:val="000000"/>
                <w:szCs w:val="24"/>
              </w:rPr>
              <w:t>对客户进行随机调查的网站满意度评分的算术平均值</w:t>
            </w:r>
          </w:p>
        </w:tc>
        <w:tc>
          <w:tcPr>
            <w:tcW w:w="3016" w:type="dxa"/>
            <w:noWrap w:val="0"/>
            <w:vAlign w:val="top"/>
          </w:tcPr>
          <w:p>
            <w:pPr>
              <w:jc w:val="both"/>
              <w:rPr>
                <w:rFonts w:hint="eastAsia" w:ascii="楷体" w:hAnsi="楷体" w:eastAsia="楷体"/>
                <w:color w:val="000000"/>
                <w:szCs w:val="24"/>
              </w:rPr>
            </w:pPr>
            <w:r>
              <w:rPr>
                <w:rFonts w:ascii="楷体" w:hAnsi="楷体" w:eastAsia="楷体"/>
                <w:color w:val="000000"/>
                <w:szCs w:val="24"/>
              </w:rPr>
              <w:t>支持满意度调研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客户满意度</w:t>
            </w:r>
          </w:p>
        </w:tc>
        <w:tc>
          <w:tcPr>
            <w:tcW w:w="6300" w:type="dxa"/>
            <w:noWrap w:val="0"/>
            <w:vAlign w:val="top"/>
          </w:tcPr>
          <w:p>
            <w:pPr>
              <w:jc w:val="both"/>
              <w:rPr>
                <w:rFonts w:hint="eastAsia" w:ascii="楷体" w:hAnsi="楷体" w:eastAsia="楷体"/>
                <w:color w:val="000000"/>
                <w:szCs w:val="24"/>
              </w:rPr>
            </w:pPr>
            <w:r>
              <w:rPr>
                <w:rFonts w:ascii="楷体" w:hAnsi="楷体" w:eastAsia="楷体"/>
                <w:color w:val="000000"/>
                <w:szCs w:val="24"/>
              </w:rPr>
              <w:t>接受随机调研的客户和代理人对服务满意度评分的算术平均值</w:t>
            </w:r>
          </w:p>
        </w:tc>
        <w:tc>
          <w:tcPr>
            <w:tcW w:w="3016" w:type="dxa"/>
            <w:noWrap w:val="0"/>
            <w:vAlign w:val="top"/>
          </w:tcPr>
          <w:p>
            <w:pPr>
              <w:jc w:val="both"/>
              <w:rPr>
                <w:rFonts w:hint="eastAsia" w:ascii="楷体" w:hAnsi="楷体" w:eastAsia="楷体"/>
                <w:color w:val="000000"/>
                <w:szCs w:val="24"/>
              </w:rPr>
            </w:pPr>
            <w:r>
              <w:rPr>
                <w:rFonts w:ascii="楷体" w:hAnsi="楷体" w:eastAsia="楷体"/>
                <w:color w:val="000000"/>
                <w:szCs w:val="24"/>
              </w:rPr>
              <w:t>客户满意度调研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客户投诉解决的满意率</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w:t>
            </w:r>
            <w:r>
              <w:rPr>
                <w:rFonts w:ascii="楷体" w:hAnsi="楷体" w:eastAsia="楷体"/>
                <w:color w:val="000000"/>
                <w:szCs w:val="24"/>
              </w:rPr>
              <w:t>客户对解决结果满意的投诉数量/总投诉数量</w:t>
            </w:r>
            <w:r>
              <w:rPr>
                <w:rFonts w:hint="eastAsia" w:ascii="楷体" w:hAnsi="楷体" w:eastAsia="楷体"/>
                <w:color w:val="000000"/>
                <w:szCs w:val="24"/>
              </w:rPr>
              <w:t>)*100%</w:t>
            </w:r>
          </w:p>
        </w:tc>
        <w:tc>
          <w:tcPr>
            <w:tcW w:w="3016" w:type="dxa"/>
            <w:noWrap w:val="0"/>
            <w:vAlign w:val="top"/>
          </w:tcPr>
          <w:p>
            <w:pPr>
              <w:jc w:val="both"/>
              <w:rPr>
                <w:rFonts w:hint="eastAsia" w:ascii="楷体" w:hAnsi="楷体" w:eastAsia="楷体"/>
                <w:color w:val="000000"/>
                <w:szCs w:val="24"/>
              </w:rPr>
            </w:pPr>
            <w:r>
              <w:rPr>
                <w:rFonts w:ascii="楷体" w:hAnsi="楷体" w:eastAsia="楷体"/>
                <w:color w:val="000000"/>
                <w:szCs w:val="24"/>
              </w:rPr>
              <w:t>客户投诉记录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服务推广数量的达成率</w:t>
            </w:r>
          </w:p>
        </w:tc>
        <w:tc>
          <w:tcPr>
            <w:tcW w:w="6300" w:type="dxa"/>
            <w:noWrap w:val="0"/>
            <w:vAlign w:val="top"/>
          </w:tcPr>
          <w:p>
            <w:pPr>
              <w:jc w:val="both"/>
              <w:rPr>
                <w:rFonts w:hint="eastAsia" w:ascii="楷体" w:hAnsi="楷体" w:eastAsia="楷体"/>
                <w:color w:val="000000"/>
                <w:szCs w:val="24"/>
              </w:rPr>
            </w:pPr>
            <w:r>
              <w:rPr>
                <w:rFonts w:ascii="楷体" w:hAnsi="楷体" w:eastAsia="楷体"/>
                <w:color w:val="000000"/>
                <w:szCs w:val="24"/>
              </w:rPr>
              <w:t>（服务实际推广数量/服务计划推广数量）</w:t>
            </w:r>
          </w:p>
          <w:p>
            <w:pPr>
              <w:jc w:val="both"/>
              <w:rPr>
                <w:rFonts w:hint="eastAsia" w:ascii="楷体" w:hAnsi="楷体" w:eastAsia="楷体"/>
                <w:color w:val="000000"/>
                <w:szCs w:val="24"/>
              </w:rPr>
            </w:pPr>
            <w:r>
              <w:rPr>
                <w:rFonts w:ascii="楷体" w:hAnsi="楷体" w:eastAsia="楷体"/>
                <w:color w:val="000000"/>
                <w:szCs w:val="24"/>
              </w:rPr>
              <w:t>*100%</w:t>
            </w:r>
          </w:p>
        </w:tc>
        <w:tc>
          <w:tcPr>
            <w:tcW w:w="3016" w:type="dxa"/>
            <w:noWrap w:val="0"/>
            <w:vAlign w:val="top"/>
          </w:tcPr>
          <w:p>
            <w:pPr>
              <w:jc w:val="both"/>
              <w:rPr>
                <w:rFonts w:hint="eastAsia" w:ascii="楷体" w:hAnsi="楷体" w:eastAsia="楷体"/>
                <w:color w:val="000000"/>
                <w:szCs w:val="24"/>
              </w:rPr>
            </w:pPr>
            <w:r>
              <w:rPr>
                <w:rFonts w:ascii="楷体" w:hAnsi="楷体" w:eastAsia="楷体"/>
                <w:color w:val="000000"/>
                <w:szCs w:val="24"/>
              </w:rPr>
              <w:t>服务统计资料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新客户增加数量</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w:t>
            </w:r>
            <w:r>
              <w:rPr>
                <w:rFonts w:ascii="楷体" w:hAnsi="楷体" w:eastAsia="楷体"/>
                <w:color w:val="000000"/>
                <w:szCs w:val="24"/>
              </w:rPr>
              <w:t>本期新客户数/总客户数</w:t>
            </w:r>
            <w:r>
              <w:rPr>
                <w:rFonts w:hint="eastAsia" w:ascii="楷体" w:hAnsi="楷体" w:eastAsia="楷体"/>
                <w:color w:val="000000"/>
                <w:szCs w:val="24"/>
              </w:rPr>
              <w:t>)</w:t>
            </w:r>
            <w:r>
              <w:rPr>
                <w:rFonts w:ascii="楷体" w:hAnsi="楷体" w:eastAsia="楷体"/>
                <w:color w:val="000000"/>
                <w:szCs w:val="24"/>
              </w:rPr>
              <w:t>*100%</w:t>
            </w:r>
          </w:p>
        </w:tc>
        <w:tc>
          <w:tcPr>
            <w:tcW w:w="3016" w:type="dxa"/>
            <w:noWrap w:val="0"/>
            <w:vAlign w:val="top"/>
          </w:tcPr>
          <w:p>
            <w:pPr>
              <w:jc w:val="both"/>
              <w:rPr>
                <w:rFonts w:hint="eastAsia" w:ascii="楷体" w:hAnsi="楷体" w:eastAsia="楷体"/>
                <w:color w:val="000000"/>
                <w:szCs w:val="24"/>
              </w:rPr>
            </w:pPr>
            <w:r>
              <w:rPr>
                <w:rFonts w:ascii="楷体" w:hAnsi="楷体" w:eastAsia="楷体"/>
                <w:color w:val="000000"/>
                <w:szCs w:val="24"/>
              </w:rPr>
              <w:t>本期新客户数，客户总数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最终客户数量</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w:t>
            </w:r>
            <w:r>
              <w:rPr>
                <w:rFonts w:ascii="楷体" w:hAnsi="楷体" w:eastAsia="楷体"/>
                <w:color w:val="000000"/>
                <w:szCs w:val="24"/>
              </w:rPr>
              <w:t>本期老客户数/客户总数</w:t>
            </w:r>
            <w:r>
              <w:rPr>
                <w:rFonts w:hint="eastAsia" w:ascii="楷体" w:hAnsi="楷体" w:eastAsia="楷体"/>
                <w:color w:val="000000"/>
                <w:szCs w:val="24"/>
              </w:rPr>
              <w:t>)</w:t>
            </w:r>
            <w:r>
              <w:rPr>
                <w:rFonts w:ascii="楷体" w:hAnsi="楷体" w:eastAsia="楷体"/>
                <w:color w:val="000000"/>
                <w:szCs w:val="24"/>
              </w:rPr>
              <w:t>*100%</w:t>
            </w:r>
          </w:p>
        </w:tc>
        <w:tc>
          <w:tcPr>
            <w:tcW w:w="3016" w:type="dxa"/>
            <w:noWrap w:val="0"/>
            <w:vAlign w:val="top"/>
          </w:tcPr>
          <w:p>
            <w:pPr>
              <w:jc w:val="both"/>
              <w:rPr>
                <w:rFonts w:hint="eastAsia" w:ascii="楷体" w:hAnsi="楷体" w:eastAsia="楷体"/>
                <w:color w:val="000000"/>
                <w:szCs w:val="24"/>
              </w:rPr>
            </w:pPr>
            <w:r>
              <w:rPr>
                <w:rFonts w:ascii="楷体" w:hAnsi="楷体" w:eastAsia="楷体"/>
                <w:color w:val="000000"/>
                <w:szCs w:val="24"/>
              </w:rPr>
              <w:t>本期老客户数/客户总数*100%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新产品的开发数量</w:t>
            </w:r>
          </w:p>
        </w:tc>
        <w:tc>
          <w:tcPr>
            <w:tcW w:w="6300" w:type="dxa"/>
            <w:noWrap w:val="0"/>
            <w:vAlign w:val="top"/>
          </w:tcPr>
          <w:p>
            <w:pPr>
              <w:jc w:val="both"/>
              <w:rPr>
                <w:rFonts w:hint="eastAsia" w:ascii="楷体" w:hAnsi="楷体" w:eastAsia="楷体"/>
                <w:color w:val="000000"/>
                <w:szCs w:val="24"/>
              </w:rPr>
            </w:pPr>
            <w:r>
              <w:rPr>
                <w:rFonts w:ascii="楷体" w:hAnsi="楷体" w:eastAsia="楷体"/>
                <w:color w:val="000000"/>
                <w:szCs w:val="24"/>
              </w:rPr>
              <w:t>产品上市的实际数量</w:t>
            </w:r>
          </w:p>
        </w:tc>
        <w:tc>
          <w:tcPr>
            <w:tcW w:w="3016" w:type="dxa"/>
            <w:noWrap w:val="0"/>
            <w:vAlign w:val="top"/>
          </w:tcPr>
          <w:p>
            <w:pPr>
              <w:jc w:val="both"/>
              <w:rPr>
                <w:rFonts w:hint="eastAsia" w:ascii="楷体" w:hAnsi="楷体" w:eastAsia="楷体"/>
                <w:color w:val="000000"/>
                <w:szCs w:val="24"/>
              </w:rPr>
            </w:pPr>
            <w:r>
              <w:rPr>
                <w:rFonts w:ascii="楷体" w:hAnsi="楷体" w:eastAsia="楷体"/>
                <w:color w:val="000000"/>
                <w:szCs w:val="24"/>
              </w:rPr>
              <w:t>销售资料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技术服务满意度</w:t>
            </w:r>
          </w:p>
        </w:tc>
        <w:tc>
          <w:tcPr>
            <w:tcW w:w="6300" w:type="dxa"/>
            <w:noWrap w:val="0"/>
            <w:vAlign w:val="top"/>
          </w:tcPr>
          <w:p>
            <w:pPr>
              <w:jc w:val="both"/>
              <w:rPr>
                <w:rFonts w:hint="eastAsia" w:ascii="楷体" w:hAnsi="楷体" w:eastAsia="楷体"/>
                <w:color w:val="000000"/>
                <w:szCs w:val="24"/>
              </w:rPr>
            </w:pPr>
            <w:r>
              <w:rPr>
                <w:rFonts w:ascii="楷体" w:hAnsi="楷体" w:eastAsia="楷体"/>
                <w:color w:val="000000"/>
                <w:szCs w:val="24"/>
              </w:rPr>
              <w:t>对客户进行随机调查的技术服务满意度评分的算术平均值</w:t>
            </w:r>
          </w:p>
        </w:tc>
        <w:tc>
          <w:tcPr>
            <w:tcW w:w="3016" w:type="dxa"/>
            <w:noWrap w:val="0"/>
            <w:vAlign w:val="top"/>
          </w:tcPr>
          <w:p>
            <w:pPr>
              <w:jc w:val="both"/>
              <w:rPr>
                <w:rFonts w:hint="eastAsia" w:ascii="楷体" w:hAnsi="楷体" w:eastAsia="楷体"/>
                <w:color w:val="000000"/>
                <w:szCs w:val="24"/>
              </w:rPr>
            </w:pPr>
            <w:r>
              <w:rPr>
                <w:rFonts w:ascii="楷体" w:hAnsi="楷体" w:eastAsia="楷体"/>
                <w:color w:val="000000"/>
                <w:szCs w:val="24"/>
              </w:rPr>
              <w:t>对客户技术服务满意度调查</w:t>
            </w:r>
          </w:p>
        </w:tc>
      </w:tr>
      <w:tr>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直销客户满意度</w:t>
            </w:r>
          </w:p>
        </w:tc>
        <w:tc>
          <w:tcPr>
            <w:tcW w:w="6300" w:type="dxa"/>
            <w:noWrap w:val="0"/>
            <w:vAlign w:val="top"/>
          </w:tcPr>
          <w:p>
            <w:pPr>
              <w:jc w:val="both"/>
              <w:rPr>
                <w:rFonts w:ascii="楷体" w:hAnsi="楷体" w:eastAsia="楷体"/>
                <w:color w:val="000000"/>
                <w:szCs w:val="24"/>
              </w:rPr>
            </w:pPr>
            <w:r>
              <w:rPr>
                <w:rFonts w:ascii="楷体" w:hAnsi="楷体" w:eastAsia="楷体"/>
                <w:color w:val="000000"/>
                <w:szCs w:val="24"/>
              </w:rPr>
              <w:t>对</w:t>
            </w:r>
            <w:r>
              <w:rPr>
                <w:rFonts w:hint="eastAsia" w:ascii="楷体" w:hAnsi="楷体" w:eastAsia="楷体"/>
                <w:color w:val="000000"/>
                <w:szCs w:val="24"/>
              </w:rPr>
              <w:t>直销</w:t>
            </w:r>
            <w:r>
              <w:rPr>
                <w:rFonts w:ascii="楷体" w:hAnsi="楷体" w:eastAsia="楷体"/>
                <w:color w:val="000000"/>
                <w:szCs w:val="24"/>
              </w:rPr>
              <w:t>客户进行随机调查的满意度评分的算术平均值</w:t>
            </w:r>
          </w:p>
        </w:tc>
        <w:tc>
          <w:tcPr>
            <w:tcW w:w="301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bl>
    <w:p>
      <w:pPr>
        <w:jc w:val="center"/>
        <w:rPr>
          <w:rFonts w:hint="eastAsia" w:ascii="楷体" w:hAnsi="楷体" w:eastAsia="楷体"/>
          <w:color w:val="000000"/>
          <w:szCs w:val="32"/>
        </w:rPr>
      </w:pPr>
      <w:r>
        <w:rPr>
          <w:rFonts w:hint="eastAsia" w:ascii="楷体" w:hAnsi="楷体" w:eastAsia="楷体"/>
          <w:color w:val="000000"/>
          <w:szCs w:val="32"/>
        </w:rPr>
        <w:br w:type="page"/>
      </w:r>
      <w:r>
        <w:rPr>
          <w:rFonts w:hint="eastAsia" w:ascii="楷体" w:hAnsi="楷体" w:eastAsia="楷体"/>
          <w:b/>
          <w:color w:val="000000"/>
          <w:sz w:val="28"/>
          <w:szCs w:val="32"/>
        </w:rPr>
        <w:t>内部营运类指标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2"/>
        <w:gridCol w:w="6456"/>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shd w:val="clear" w:color="auto" w:fill="FFFF00"/>
            <w:noWrap w:val="0"/>
            <w:vAlign w:val="top"/>
          </w:tcPr>
          <w:p>
            <w:pPr>
              <w:jc w:val="center"/>
              <w:rPr>
                <w:rFonts w:hint="eastAsia" w:ascii="楷体" w:hAnsi="楷体" w:eastAsia="楷体"/>
                <w:color w:val="000000"/>
                <w:szCs w:val="24"/>
              </w:rPr>
            </w:pPr>
            <w:r>
              <w:rPr>
                <w:rFonts w:hint="eastAsia" w:ascii="楷体" w:hAnsi="楷体" w:eastAsia="楷体"/>
                <w:color w:val="000000"/>
                <w:szCs w:val="24"/>
              </w:rPr>
              <w:t>关键绩效指标</w:t>
            </w:r>
          </w:p>
        </w:tc>
        <w:tc>
          <w:tcPr>
            <w:tcW w:w="6456" w:type="dxa"/>
            <w:shd w:val="clear" w:color="auto" w:fill="FFFF00"/>
            <w:noWrap w:val="0"/>
            <w:vAlign w:val="top"/>
          </w:tcPr>
          <w:p>
            <w:pPr>
              <w:jc w:val="center"/>
              <w:rPr>
                <w:rFonts w:hint="eastAsia" w:ascii="楷体" w:hAnsi="楷体" w:eastAsia="楷体"/>
                <w:color w:val="000000"/>
                <w:szCs w:val="24"/>
              </w:rPr>
            </w:pPr>
            <w:r>
              <w:rPr>
                <w:rFonts w:hint="eastAsia" w:ascii="楷体" w:hAnsi="楷体" w:eastAsia="楷体"/>
                <w:color w:val="000000"/>
                <w:szCs w:val="24"/>
              </w:rPr>
              <w:t>指标定义/计算公式</w:t>
            </w:r>
          </w:p>
        </w:tc>
        <w:tc>
          <w:tcPr>
            <w:tcW w:w="2986" w:type="dxa"/>
            <w:shd w:val="clear" w:color="auto" w:fill="FFFF00"/>
            <w:noWrap w:val="0"/>
            <w:vAlign w:val="top"/>
          </w:tcPr>
          <w:p>
            <w:pPr>
              <w:jc w:val="center"/>
              <w:rPr>
                <w:rFonts w:hint="eastAsia" w:ascii="楷体" w:hAnsi="楷体" w:eastAsia="楷体"/>
                <w:color w:val="000000"/>
                <w:szCs w:val="24"/>
              </w:rPr>
            </w:pPr>
            <w:r>
              <w:rPr>
                <w:rFonts w:hint="eastAsia" w:ascii="楷体" w:hAnsi="楷体" w:eastAsia="楷体"/>
                <w:color w:val="000000"/>
                <w:szCs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书面的流程和制度所占的百分率(ISO标准)</w:t>
            </w:r>
          </w:p>
        </w:tc>
        <w:tc>
          <w:tcPr>
            <w:tcW w:w="6456" w:type="dxa"/>
            <w:noWrap w:val="0"/>
            <w:vAlign w:val="top"/>
          </w:tcPr>
          <w:p>
            <w:pPr>
              <w:jc w:val="both"/>
              <w:rPr>
                <w:rFonts w:hint="eastAsia" w:ascii="楷体" w:hAnsi="楷体" w:eastAsia="楷体"/>
                <w:snapToGrid w:val="0"/>
                <w:color w:val="000000"/>
                <w:szCs w:val="24"/>
              </w:rPr>
            </w:pPr>
            <w:r>
              <w:rPr>
                <w:rFonts w:hint="eastAsia" w:ascii="楷体" w:hAnsi="楷体" w:eastAsia="楷体"/>
                <w:snapToGrid w:val="0"/>
                <w:color w:val="000000"/>
                <w:szCs w:val="24"/>
              </w:rPr>
              <w:t>(书面化的流程和制度数目</w:t>
            </w:r>
            <w:r>
              <w:rPr>
                <w:rFonts w:ascii="楷体" w:hAnsi="楷体" w:eastAsia="楷体"/>
                <w:snapToGrid w:val="0"/>
                <w:color w:val="000000"/>
                <w:szCs w:val="24"/>
              </w:rPr>
              <w:t>/所有需要制订的流程和制度总数</w:t>
            </w:r>
            <w:r>
              <w:rPr>
                <w:rFonts w:hint="eastAsia" w:ascii="楷体" w:hAnsi="楷体" w:eastAsia="楷体"/>
                <w:snapToGrid w:val="0"/>
                <w:color w:val="000000"/>
                <w:szCs w:val="24"/>
              </w:rPr>
              <w:t>)*100%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需书面化的流程与制度规定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工作目标按计划完成率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(实际完成工作量/计划完成量)*100%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报表数据</w:t>
            </w:r>
            <w:r>
              <w:rPr>
                <w:rFonts w:hint="eastAsia" w:ascii="楷体" w:hAnsi="楷体" w:eastAsia="楷体"/>
                <w:snapToGrid w:val="0"/>
                <w:color w:val="000000"/>
                <w:szCs w:val="24"/>
              </w:rPr>
              <w:t>出错</w:t>
            </w:r>
            <w:r>
              <w:rPr>
                <w:rFonts w:ascii="楷体" w:hAnsi="楷体" w:eastAsia="楷体"/>
                <w:snapToGrid w:val="0"/>
                <w:color w:val="000000"/>
                <w:szCs w:val="24"/>
                <w:lang w:eastAsia="en-US"/>
              </w:rPr>
              <w:t>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(查出有误报表数量/提交报表总数)*100%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报表检查记录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文书档案归档率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(归档文档数/文档总数)*100%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文档记录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国内外市场调研报告的质量</w:t>
            </w:r>
          </w:p>
        </w:tc>
        <w:tc>
          <w:tcPr>
            <w:tcW w:w="6456" w:type="dxa"/>
            <w:noWrap w:val="0"/>
            <w:vAlign w:val="top"/>
          </w:tcPr>
          <w:p>
            <w:pPr>
              <w:jc w:val="both"/>
              <w:rPr>
                <w:rFonts w:hint="eastAsia" w:ascii="楷体" w:hAnsi="楷体" w:eastAsia="楷体"/>
                <w:color w:val="000000"/>
                <w:szCs w:val="24"/>
              </w:rPr>
            </w:pP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上级评定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项目可行性分析报告质量</w:t>
            </w:r>
          </w:p>
        </w:tc>
        <w:tc>
          <w:tcPr>
            <w:tcW w:w="6456" w:type="dxa"/>
            <w:noWrap w:val="0"/>
            <w:vAlign w:val="top"/>
          </w:tcPr>
          <w:p>
            <w:pPr>
              <w:jc w:val="both"/>
              <w:rPr>
                <w:rFonts w:hint="eastAsia" w:ascii="楷体" w:hAnsi="楷体" w:eastAsia="楷体"/>
                <w:color w:val="000000"/>
                <w:szCs w:val="24"/>
              </w:rPr>
            </w:pP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项目可行性分析报告质量认证/上级评定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3912" w:type="dxa"/>
            <w:noWrap w:val="0"/>
            <w:vAlign w:val="top"/>
          </w:tcPr>
          <w:p>
            <w:pPr>
              <w:jc w:val="both"/>
              <w:rPr>
                <w:rFonts w:hint="eastAsia" w:ascii="楷体" w:hAnsi="楷体" w:eastAsia="楷体"/>
                <w:snapToGrid w:val="0"/>
                <w:color w:val="000000"/>
                <w:szCs w:val="24"/>
              </w:rPr>
            </w:pPr>
            <w:r>
              <w:rPr>
                <w:rFonts w:ascii="楷体" w:hAnsi="楷体" w:eastAsia="楷体"/>
                <w:snapToGrid w:val="0"/>
                <w:color w:val="000000"/>
                <w:szCs w:val="24"/>
              </w:rPr>
              <w:t>财务报表出错率</w:t>
            </w:r>
          </w:p>
        </w:tc>
        <w:tc>
          <w:tcPr>
            <w:tcW w:w="6456" w:type="dxa"/>
            <w:noWrap w:val="0"/>
            <w:vAlign w:val="top"/>
          </w:tcPr>
          <w:p>
            <w:pPr>
              <w:jc w:val="both"/>
              <w:rPr>
                <w:rFonts w:ascii="楷体" w:hAnsi="楷体" w:eastAsia="楷体"/>
                <w:snapToGrid w:val="0"/>
                <w:color w:val="000000"/>
                <w:szCs w:val="24"/>
              </w:rPr>
            </w:pPr>
            <w:r>
              <w:rPr>
                <w:rFonts w:hint="eastAsia" w:ascii="楷体" w:hAnsi="楷体" w:eastAsia="楷体"/>
                <w:snapToGrid w:val="0"/>
                <w:color w:val="000000"/>
                <w:szCs w:val="24"/>
              </w:rPr>
              <w:t>(</w:t>
            </w:r>
            <w:r>
              <w:rPr>
                <w:rFonts w:ascii="楷体" w:hAnsi="楷体" w:eastAsia="楷体"/>
                <w:snapToGrid w:val="0"/>
                <w:color w:val="000000"/>
                <w:szCs w:val="24"/>
              </w:rPr>
              <w:t>查出有误的财务报表数量/提交的财务报表总数</w:t>
            </w:r>
            <w:r>
              <w:rPr>
                <w:rFonts w:hint="eastAsia" w:ascii="楷体" w:hAnsi="楷体" w:eastAsia="楷体"/>
                <w:snapToGrid w:val="0"/>
                <w:color w:val="000000"/>
                <w:szCs w:val="24"/>
              </w:rPr>
              <w:t>)</w:t>
            </w:r>
            <w:r>
              <w:rPr>
                <w:rFonts w:ascii="楷体" w:hAnsi="楷体" w:eastAsia="楷体"/>
                <w:snapToGrid w:val="0"/>
                <w:color w:val="000000"/>
                <w:szCs w:val="24"/>
              </w:rPr>
              <w:t>*100%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财务报表检查记录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snapToGrid w:val="0"/>
                <w:color w:val="000000"/>
                <w:szCs w:val="24"/>
              </w:rPr>
            </w:pPr>
            <w:r>
              <w:rPr>
                <w:rFonts w:ascii="楷体" w:hAnsi="楷体" w:eastAsia="楷体"/>
                <w:snapToGrid w:val="0"/>
                <w:color w:val="000000"/>
                <w:szCs w:val="24"/>
              </w:rPr>
              <w:t>财务分析</w:t>
            </w:r>
            <w:r>
              <w:rPr>
                <w:rFonts w:hint="eastAsia" w:ascii="楷体" w:hAnsi="楷体" w:eastAsia="楷体"/>
                <w:snapToGrid w:val="0"/>
                <w:color w:val="000000"/>
                <w:szCs w:val="24"/>
              </w:rPr>
              <w:t>出错</w:t>
            </w:r>
            <w:r>
              <w:rPr>
                <w:rFonts w:ascii="楷体" w:hAnsi="楷体" w:eastAsia="楷体"/>
                <w:snapToGrid w:val="0"/>
                <w:color w:val="000000"/>
                <w:szCs w:val="24"/>
              </w:rPr>
              <w:t>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snapToGrid w:val="0"/>
                <w:color w:val="000000"/>
                <w:szCs w:val="24"/>
              </w:rPr>
              <w:t>(</w:t>
            </w:r>
            <w:r>
              <w:rPr>
                <w:rFonts w:ascii="楷体" w:hAnsi="楷体" w:eastAsia="楷体"/>
                <w:snapToGrid w:val="0"/>
                <w:color w:val="000000"/>
                <w:szCs w:val="24"/>
              </w:rPr>
              <w:t>有误的财务</w:t>
            </w:r>
            <w:r>
              <w:rPr>
                <w:rFonts w:hint="eastAsia" w:ascii="楷体" w:hAnsi="楷体" w:eastAsia="楷体"/>
                <w:snapToGrid w:val="0"/>
                <w:color w:val="000000"/>
                <w:szCs w:val="24"/>
              </w:rPr>
              <w:t>分析</w:t>
            </w:r>
            <w:r>
              <w:rPr>
                <w:rFonts w:ascii="楷体" w:hAnsi="楷体" w:eastAsia="楷体"/>
                <w:snapToGrid w:val="0"/>
                <w:color w:val="000000"/>
                <w:szCs w:val="24"/>
              </w:rPr>
              <w:t>数量/提交的财务</w:t>
            </w:r>
            <w:r>
              <w:rPr>
                <w:rFonts w:hint="eastAsia" w:ascii="楷体" w:hAnsi="楷体" w:eastAsia="楷体"/>
                <w:snapToGrid w:val="0"/>
                <w:color w:val="000000"/>
                <w:szCs w:val="24"/>
              </w:rPr>
              <w:t>分析</w:t>
            </w:r>
            <w:r>
              <w:rPr>
                <w:rFonts w:ascii="楷体" w:hAnsi="楷体" w:eastAsia="楷体"/>
                <w:snapToGrid w:val="0"/>
                <w:color w:val="000000"/>
                <w:szCs w:val="24"/>
              </w:rPr>
              <w:t>总数</w:t>
            </w:r>
            <w:r>
              <w:rPr>
                <w:rFonts w:hint="eastAsia" w:ascii="楷体" w:hAnsi="楷体" w:eastAsia="楷体"/>
                <w:snapToGrid w:val="0"/>
                <w:color w:val="000000"/>
                <w:szCs w:val="24"/>
              </w:rPr>
              <w:t>)</w:t>
            </w:r>
            <w:r>
              <w:rPr>
                <w:rFonts w:ascii="楷体" w:hAnsi="楷体" w:eastAsia="楷体"/>
                <w:snapToGrid w:val="0"/>
                <w:color w:val="000000"/>
                <w:szCs w:val="24"/>
              </w:rPr>
              <w:t>*100%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财务分析记录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snapToGrid w:val="0"/>
                <w:color w:val="000000"/>
                <w:szCs w:val="24"/>
              </w:rPr>
            </w:pPr>
            <w:r>
              <w:rPr>
                <w:rFonts w:ascii="楷体" w:hAnsi="楷体" w:eastAsia="楷体"/>
                <w:snapToGrid w:val="0"/>
                <w:color w:val="000000"/>
                <w:szCs w:val="24"/>
              </w:rPr>
              <w:t>各部门预算准确率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(1-超出或未达成预算/部门预算)*100%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各部门费用预算达成率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snapToGrid w:val="0"/>
                <w:color w:val="000000"/>
                <w:szCs w:val="24"/>
              </w:rPr>
            </w:pPr>
            <w:r>
              <w:rPr>
                <w:rFonts w:ascii="楷体" w:hAnsi="楷体" w:eastAsia="楷体"/>
                <w:snapToGrid w:val="0"/>
                <w:color w:val="000000"/>
                <w:szCs w:val="24"/>
              </w:rPr>
              <w:t>KPI</w:t>
            </w:r>
            <w:r>
              <w:rPr>
                <w:rFonts w:hint="eastAsia" w:ascii="楷体" w:hAnsi="楷体" w:eastAsia="楷体"/>
                <w:snapToGrid w:val="0"/>
                <w:color w:val="000000"/>
                <w:szCs w:val="24"/>
              </w:rPr>
              <w:t>辞典</w:t>
            </w:r>
            <w:r>
              <w:rPr>
                <w:rFonts w:ascii="楷体" w:hAnsi="楷体" w:eastAsia="楷体"/>
                <w:snapToGrid w:val="0"/>
                <w:color w:val="000000"/>
                <w:szCs w:val="24"/>
              </w:rPr>
              <w:t>更新的及时性</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将新生成的KPI第一时间放入KPI辞典</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KPI辞典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策划方案成功率</w:t>
            </w:r>
          </w:p>
        </w:tc>
        <w:tc>
          <w:tcPr>
            <w:tcW w:w="6456" w:type="dxa"/>
            <w:noWrap w:val="0"/>
            <w:vAlign w:val="top"/>
          </w:tcPr>
          <w:p>
            <w:pPr>
              <w:jc w:val="both"/>
              <w:rPr>
                <w:rFonts w:hint="eastAsia" w:ascii="楷体" w:hAnsi="楷体" w:eastAsia="楷体"/>
                <w:snapToGrid w:val="0"/>
                <w:color w:val="000000"/>
                <w:szCs w:val="24"/>
              </w:rPr>
            </w:pPr>
            <w:r>
              <w:rPr>
                <w:rFonts w:hint="eastAsia" w:ascii="楷体" w:hAnsi="楷体" w:eastAsia="楷体"/>
                <w:snapToGrid w:val="0"/>
                <w:color w:val="000000"/>
                <w:szCs w:val="24"/>
              </w:rPr>
              <w:t>(成功方案数/提交方案数)*100%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策划方案提交与成功记录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提交项目管理报告及时性</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(按时提交管理报告/报告总数)*100%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项目管理报告记录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管理委员会对办公室服务满意度</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管理委员会对办公室服务工作的满意度调查的算术平均值</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snapToGrid w:val="0"/>
                <w:color w:val="000000"/>
                <w:szCs w:val="24"/>
              </w:rPr>
            </w:pPr>
            <w:r>
              <w:rPr>
                <w:rFonts w:ascii="楷体" w:hAnsi="楷体" w:eastAsia="楷体"/>
                <w:snapToGrid w:val="0"/>
                <w:color w:val="000000"/>
                <w:szCs w:val="24"/>
              </w:rPr>
              <w:t>内部客户满意度</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接受民主测评的相关部门对被测评部门所提供服务的满意度</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内部客户满意度民主测评结果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snapToGrid w:val="0"/>
                <w:color w:val="000000"/>
                <w:szCs w:val="24"/>
              </w:rPr>
            </w:pPr>
            <w:r>
              <w:rPr>
                <w:rFonts w:ascii="楷体" w:hAnsi="楷体" w:eastAsia="楷体"/>
                <w:snapToGrid w:val="0"/>
                <w:color w:val="000000"/>
                <w:szCs w:val="24"/>
              </w:rPr>
              <w:t>招聘空缺职位所需的平均天数</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空缺职位总数/招聘空缺职位所用的总天数</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招聘天数记录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员工晋升评审活动的及时有效开展</w:t>
            </w:r>
          </w:p>
        </w:tc>
        <w:tc>
          <w:tcPr>
            <w:tcW w:w="6456" w:type="dxa"/>
            <w:noWrap w:val="0"/>
            <w:vAlign w:val="top"/>
          </w:tcPr>
          <w:p>
            <w:pPr>
              <w:jc w:val="both"/>
              <w:rPr>
                <w:rFonts w:hint="eastAsia" w:ascii="楷体" w:hAnsi="楷体" w:eastAsia="楷体"/>
                <w:color w:val="000000"/>
                <w:szCs w:val="24"/>
              </w:rPr>
            </w:pP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晋升评审记录及员工对晋升意见记录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snapToGrid w:val="0"/>
                <w:color w:val="000000"/>
                <w:szCs w:val="24"/>
              </w:rPr>
            </w:pPr>
            <w:r>
              <w:rPr>
                <w:rFonts w:ascii="楷体" w:hAnsi="楷体" w:eastAsia="楷体"/>
                <w:snapToGrid w:val="0"/>
                <w:color w:val="000000"/>
                <w:szCs w:val="24"/>
              </w:rPr>
              <w:t>员工工资发放出错率</w:t>
            </w:r>
          </w:p>
        </w:tc>
        <w:tc>
          <w:tcPr>
            <w:tcW w:w="6456" w:type="dxa"/>
            <w:noWrap w:val="0"/>
            <w:vAlign w:val="top"/>
          </w:tcPr>
          <w:p>
            <w:pPr>
              <w:jc w:val="both"/>
              <w:rPr>
                <w:rFonts w:hint="eastAsia" w:ascii="楷体" w:hAnsi="楷体" w:eastAsia="楷体"/>
                <w:snapToGrid w:val="0"/>
                <w:color w:val="000000"/>
                <w:szCs w:val="24"/>
              </w:rPr>
            </w:pPr>
            <w:r>
              <w:rPr>
                <w:rFonts w:hint="eastAsia" w:ascii="楷体" w:hAnsi="楷体" w:eastAsia="楷体"/>
                <w:snapToGrid w:val="0"/>
                <w:color w:val="000000"/>
                <w:szCs w:val="24"/>
              </w:rPr>
              <w:t>错误发放的工资次数/发放的工资次数</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工资发放记录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劳动争议处理及时性</w:t>
            </w:r>
          </w:p>
        </w:tc>
        <w:tc>
          <w:tcPr>
            <w:tcW w:w="6456" w:type="dxa"/>
            <w:noWrap w:val="0"/>
            <w:vAlign w:val="top"/>
          </w:tcPr>
          <w:p>
            <w:pPr>
              <w:jc w:val="both"/>
              <w:rPr>
                <w:rFonts w:ascii="楷体" w:hAnsi="楷体" w:eastAsia="楷体"/>
                <w:snapToGrid w:val="0"/>
                <w:color w:val="000000"/>
                <w:szCs w:val="24"/>
                <w:lang w:eastAsia="en-US"/>
              </w:rPr>
            </w:pP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绩效考核数据准确率</w:t>
            </w:r>
          </w:p>
        </w:tc>
        <w:tc>
          <w:tcPr>
            <w:tcW w:w="6456" w:type="dxa"/>
            <w:noWrap w:val="0"/>
            <w:vAlign w:val="top"/>
          </w:tcPr>
          <w:p>
            <w:pPr>
              <w:jc w:val="both"/>
              <w:rPr>
                <w:rFonts w:hint="eastAsia" w:ascii="楷体" w:hAnsi="楷体" w:eastAsia="楷体"/>
                <w:snapToGrid w:val="0"/>
                <w:color w:val="000000"/>
                <w:szCs w:val="24"/>
              </w:rPr>
            </w:pPr>
            <w:r>
              <w:rPr>
                <w:rFonts w:hint="eastAsia" w:ascii="楷体" w:hAnsi="楷体" w:eastAsia="楷体"/>
                <w:snapToGrid w:val="0"/>
                <w:color w:val="000000"/>
                <w:szCs w:val="24"/>
              </w:rPr>
              <w:t>(实查有误数据/考核数据总数)*100%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snapToGrid w:val="0"/>
                <w:color w:val="000000"/>
                <w:szCs w:val="24"/>
                <w:lang w:eastAsia="en-US"/>
              </w:rPr>
            </w:pPr>
            <w:r>
              <w:rPr>
                <w:rFonts w:ascii="楷体" w:hAnsi="楷体" w:eastAsia="楷体"/>
                <w:snapToGrid w:val="0"/>
                <w:color w:val="000000"/>
                <w:szCs w:val="24"/>
                <w:lang w:eastAsia="en-US"/>
              </w:rPr>
              <w:t>绩效考核按时完成率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(按时完成的绩效考核数/绩效考核总数)</w:t>
            </w:r>
          </w:p>
          <w:p>
            <w:pPr>
              <w:jc w:val="both"/>
              <w:rPr>
                <w:rFonts w:hint="eastAsia" w:ascii="楷体" w:hAnsi="楷体" w:eastAsia="楷体"/>
                <w:color w:val="000000"/>
                <w:szCs w:val="24"/>
              </w:rPr>
            </w:pPr>
            <w:r>
              <w:rPr>
                <w:rFonts w:hint="eastAsia" w:ascii="楷体" w:hAnsi="楷体" w:eastAsia="楷体"/>
                <w:color w:val="000000"/>
                <w:szCs w:val="24"/>
              </w:rPr>
              <w:t>*100%</w:t>
            </w:r>
          </w:p>
        </w:tc>
        <w:tc>
          <w:tcPr>
            <w:tcW w:w="298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绩效考核记录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内部网络建立的安全性</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内部网络安运行</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系统故障记录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提交分析报告的质量</w:t>
            </w:r>
          </w:p>
        </w:tc>
        <w:tc>
          <w:tcPr>
            <w:tcW w:w="6456" w:type="dxa"/>
            <w:noWrap w:val="0"/>
            <w:vAlign w:val="top"/>
          </w:tcPr>
          <w:p>
            <w:pPr>
              <w:jc w:val="both"/>
              <w:rPr>
                <w:rFonts w:hint="eastAsia" w:ascii="楷体" w:hAnsi="楷体" w:eastAsia="楷体"/>
                <w:color w:val="000000"/>
                <w:szCs w:val="24"/>
              </w:rPr>
            </w:pPr>
          </w:p>
        </w:tc>
        <w:tc>
          <w:tcPr>
            <w:tcW w:w="2986" w:type="dxa"/>
            <w:noWrap w:val="0"/>
            <w:vAlign w:val="top"/>
          </w:tcPr>
          <w:p>
            <w:pPr>
              <w:jc w:val="both"/>
              <w:rPr>
                <w:rFonts w:hint="eastAsia"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个案完成及时性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个案处理时间</w:t>
            </w:r>
            <w:r>
              <w:rPr>
                <w:rFonts w:ascii="楷体" w:hAnsi="楷体" w:eastAsia="楷体"/>
                <w:color w:val="000000"/>
                <w:szCs w:val="24"/>
              </w:rPr>
              <w:t>=</w:t>
            </w:r>
            <w:r>
              <w:rPr>
                <w:rFonts w:hint="eastAsia" w:ascii="楷体" w:hAnsi="楷体" w:eastAsia="楷体"/>
                <w:color w:val="000000"/>
                <w:szCs w:val="24"/>
              </w:rPr>
              <w:t>个案完成的日期</w:t>
            </w:r>
            <w:r>
              <w:rPr>
                <w:rFonts w:ascii="楷体" w:hAnsi="楷体" w:eastAsia="楷体"/>
                <w:color w:val="000000"/>
                <w:szCs w:val="24"/>
              </w:rPr>
              <w:t>-</w:t>
            </w:r>
            <w:r>
              <w:rPr>
                <w:rFonts w:hint="eastAsia" w:ascii="楷体" w:hAnsi="楷体" w:eastAsia="楷体"/>
                <w:color w:val="000000"/>
                <w:szCs w:val="24"/>
              </w:rPr>
              <w:t>个案上报的日期</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上报与批复的文件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统计分析的准确性和及时性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及时对各分公司的核保、核赔数据进行统计分析，并使分析结果具有使用价值</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分公司总经理室及相关部门满意度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分公司总经理室及相关部门对客户服务部工作的满意度</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提出新产品建议的数量和质量</w:t>
            </w:r>
            <w:r>
              <w:rPr>
                <w:rFonts w:ascii="楷体" w:hAnsi="楷体" w:eastAsia="楷体"/>
                <w:color w:val="000000"/>
                <w:szCs w:val="24"/>
              </w:rPr>
              <w:t>(鼓励创意性指标)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领导认可的新产品建议的数量和质量</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建立与研究及政府部门的联系</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与国家研究部门及政府部门联系的广泛与密切程度</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相关部门及上级评价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对外信息披露的及时性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按照章程规定的时间向外界批露应该批露的信息</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批露的文件记载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股东及董事满意度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股东及董事对董办工作的满意度</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与外部中介机构的沟通协调</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充分及时掌握相关政策、法规的变化</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对与董事会工作相关的政策法规的变化及时掌握，及时应对</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与股东、董事沟通的及时性、准确性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及时、准确地与股东、董事沟通的程度</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会议组织、安排的有效性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及时、有效安排会议的程度</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英文资料翻译的准确率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(准确提供的英文资源的数量</w:t>
            </w:r>
            <w:r>
              <w:rPr>
                <w:rFonts w:ascii="楷体" w:hAnsi="楷体" w:eastAsia="楷体"/>
                <w:color w:val="000000"/>
                <w:szCs w:val="24"/>
              </w:rPr>
              <w:t>/</w:t>
            </w:r>
            <w:r>
              <w:rPr>
                <w:rFonts w:hint="eastAsia" w:ascii="楷体" w:hAnsi="楷体" w:eastAsia="楷体"/>
                <w:color w:val="000000"/>
                <w:szCs w:val="24"/>
              </w:rPr>
              <w:t>按照章程规定应该提供的英文资料的数量)*100%</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英文资料翻译检查记录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信息的准确性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内部及对外部发布的信息的准确性</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内部信息收集的及时性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及时收集公司内部的与董办工作相关的信息</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发布的文件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内部客户满意度（部门秘书）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部门内部及相关部门的满意度</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劳动合同签订的及时性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劳动合同签订时间</w:t>
            </w:r>
            <w:r>
              <w:rPr>
                <w:rFonts w:ascii="楷体" w:hAnsi="楷体" w:eastAsia="楷体"/>
                <w:color w:val="000000"/>
                <w:szCs w:val="24"/>
              </w:rPr>
              <w:t>=</w:t>
            </w:r>
            <w:r>
              <w:rPr>
                <w:rFonts w:hint="eastAsia" w:ascii="楷体" w:hAnsi="楷体" w:eastAsia="楷体"/>
                <w:color w:val="000000"/>
                <w:szCs w:val="24"/>
              </w:rPr>
              <w:t>劳动合同签订或续签时间</w:t>
            </w:r>
            <w:r>
              <w:rPr>
                <w:rFonts w:ascii="楷体" w:hAnsi="楷体" w:eastAsia="楷体"/>
                <w:color w:val="000000"/>
                <w:szCs w:val="24"/>
              </w:rPr>
              <w:t>-</w:t>
            </w:r>
            <w:r>
              <w:rPr>
                <w:rFonts w:hint="eastAsia" w:ascii="楷体" w:hAnsi="楷体" w:eastAsia="楷体"/>
                <w:color w:val="000000"/>
                <w:szCs w:val="24"/>
              </w:rPr>
              <w:t>按照规定签定或续签劳动合同的时间</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入职离职手续办理的及时性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员工入职或离职办理相关手续时间</w:t>
            </w:r>
            <w:r>
              <w:rPr>
                <w:rFonts w:ascii="楷体" w:hAnsi="楷体" w:eastAsia="楷体"/>
                <w:color w:val="000000"/>
                <w:szCs w:val="24"/>
              </w:rPr>
              <w:t>=</w:t>
            </w:r>
            <w:r>
              <w:rPr>
                <w:rFonts w:hint="eastAsia" w:ascii="楷体" w:hAnsi="楷体" w:eastAsia="楷体"/>
                <w:color w:val="000000"/>
                <w:szCs w:val="24"/>
              </w:rPr>
              <w:t>员工入职或离职实际办理相关手续时间</w:t>
            </w:r>
            <w:r>
              <w:rPr>
                <w:rFonts w:ascii="楷体" w:hAnsi="楷体" w:eastAsia="楷体"/>
                <w:color w:val="000000"/>
                <w:szCs w:val="24"/>
              </w:rPr>
              <w:t>-</w:t>
            </w:r>
            <w:r>
              <w:rPr>
                <w:rFonts w:hint="eastAsia" w:ascii="楷体" w:hAnsi="楷体" w:eastAsia="楷体"/>
                <w:color w:val="000000"/>
                <w:szCs w:val="24"/>
              </w:rPr>
              <w:t>按照规定办理员工入职或离职相关手续时间</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人员编制控制率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(实际人力</w:t>
            </w:r>
            <w:r>
              <w:rPr>
                <w:rFonts w:ascii="楷体" w:hAnsi="楷体" w:eastAsia="楷体"/>
                <w:color w:val="000000"/>
                <w:szCs w:val="24"/>
              </w:rPr>
              <w:t>/</w:t>
            </w:r>
            <w:r>
              <w:rPr>
                <w:rFonts w:hint="eastAsia" w:ascii="楷体" w:hAnsi="楷体" w:eastAsia="楷体"/>
                <w:color w:val="000000"/>
                <w:szCs w:val="24"/>
              </w:rPr>
              <w:t>计划人力编制)</w:t>
            </w:r>
            <w:r>
              <w:rPr>
                <w:rFonts w:ascii="楷体" w:hAnsi="楷体" w:eastAsia="楷体"/>
                <w:color w:val="000000"/>
                <w:szCs w:val="24"/>
              </w:rPr>
              <w:t>*100%</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机构扩展达成率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(实际扩展的机构</w:t>
            </w:r>
            <w:r>
              <w:rPr>
                <w:rFonts w:ascii="楷体" w:hAnsi="楷体" w:eastAsia="楷体"/>
                <w:color w:val="000000"/>
                <w:szCs w:val="24"/>
              </w:rPr>
              <w:t>/</w:t>
            </w:r>
            <w:r>
              <w:rPr>
                <w:rFonts w:hint="eastAsia" w:ascii="楷体" w:hAnsi="楷体" w:eastAsia="楷体"/>
                <w:color w:val="000000"/>
                <w:szCs w:val="24"/>
              </w:rPr>
              <w:t>计划扩展的机构)</w:t>
            </w:r>
            <w:r>
              <w:rPr>
                <w:rFonts w:ascii="楷体" w:hAnsi="楷体" w:eastAsia="楷体"/>
                <w:color w:val="000000"/>
                <w:szCs w:val="24"/>
              </w:rPr>
              <w:t>*100%</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机构内设控制率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(各机构下的实际部门及岗位设置数</w:t>
            </w:r>
            <w:r>
              <w:rPr>
                <w:rFonts w:ascii="楷体" w:hAnsi="楷体" w:eastAsia="楷体"/>
                <w:color w:val="000000"/>
                <w:szCs w:val="24"/>
              </w:rPr>
              <w:t>/</w:t>
            </w:r>
            <w:r>
              <w:rPr>
                <w:rFonts w:hint="eastAsia" w:ascii="楷体" w:hAnsi="楷体" w:eastAsia="楷体"/>
                <w:color w:val="000000"/>
                <w:szCs w:val="24"/>
              </w:rPr>
              <w:t>计划数)</w:t>
            </w:r>
          </w:p>
          <w:p>
            <w:pPr>
              <w:jc w:val="both"/>
              <w:rPr>
                <w:rFonts w:ascii="楷体" w:hAnsi="楷体" w:eastAsia="楷体"/>
                <w:color w:val="000000"/>
                <w:szCs w:val="24"/>
              </w:rPr>
            </w:pPr>
            <w:r>
              <w:rPr>
                <w:rFonts w:ascii="楷体" w:hAnsi="楷体" w:eastAsia="楷体"/>
                <w:color w:val="000000"/>
                <w:szCs w:val="24"/>
              </w:rPr>
              <w:t>*100%</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法律意见建设性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法律意见被提意见对象和法律部主管领导的认可</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诉讼事件处理结果与公司方案的一致性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公司批准的诉讼方案与诉讼结果的比较</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对于对外签署的法律文件提出意见的有效性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经法律部审批的法律文件合法、合规或贯彻了公司领导的意图</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稽核意见建设性（</w:t>
            </w:r>
            <w:r>
              <w:rPr>
                <w:rFonts w:ascii="楷体" w:hAnsi="楷体" w:eastAsia="楷体"/>
                <w:color w:val="000000"/>
                <w:szCs w:val="24"/>
              </w:rPr>
              <w:t>de</w:t>
            </w:r>
            <w:r>
              <w:rPr>
                <w:rFonts w:hint="eastAsia" w:ascii="楷体" w:hAnsi="楷体" w:eastAsia="楷体"/>
                <w:color w:val="000000"/>
                <w:szCs w:val="24"/>
              </w:rPr>
              <w:t>）</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稽核意见被提意见对象和法律部主管领导的认可</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稽核报告的质量</w:t>
            </w:r>
          </w:p>
        </w:tc>
        <w:tc>
          <w:tcPr>
            <w:tcW w:w="6456" w:type="dxa"/>
            <w:noWrap w:val="0"/>
            <w:vAlign w:val="top"/>
          </w:tcPr>
          <w:p>
            <w:pPr>
              <w:jc w:val="both"/>
              <w:rPr>
                <w:rFonts w:ascii="楷体" w:hAnsi="楷体" w:eastAsia="楷体"/>
                <w:color w:val="000000"/>
                <w:szCs w:val="24"/>
              </w:rPr>
            </w:pPr>
            <w:r>
              <w:rPr>
                <w:rFonts w:ascii="楷体" w:hAnsi="楷体" w:eastAsia="楷体"/>
                <w:color w:val="000000"/>
                <w:szCs w:val="24"/>
              </w:rPr>
              <w:t>1.</w:t>
            </w:r>
            <w:r>
              <w:rPr>
                <w:rFonts w:hint="eastAsia" w:ascii="楷体" w:hAnsi="楷体" w:eastAsia="楷体"/>
                <w:color w:val="000000"/>
                <w:szCs w:val="24"/>
              </w:rPr>
              <w:t>符合内部稽核的工作规定；</w:t>
            </w:r>
            <w:r>
              <w:rPr>
                <w:rFonts w:ascii="楷体" w:hAnsi="楷体" w:eastAsia="楷体"/>
                <w:color w:val="000000"/>
                <w:szCs w:val="24"/>
              </w:rPr>
              <w:t>2.</w:t>
            </w:r>
            <w:r>
              <w:rPr>
                <w:rFonts w:hint="eastAsia" w:ascii="楷体" w:hAnsi="楷体" w:eastAsia="楷体"/>
                <w:color w:val="000000"/>
                <w:szCs w:val="24"/>
              </w:rPr>
              <w:t>有无重大差错；</w:t>
            </w:r>
            <w:r>
              <w:rPr>
                <w:rFonts w:ascii="楷体" w:hAnsi="楷体" w:eastAsia="楷体"/>
                <w:color w:val="000000"/>
                <w:szCs w:val="24"/>
              </w:rPr>
              <w:t>3.</w:t>
            </w:r>
            <w:r>
              <w:rPr>
                <w:rFonts w:hint="eastAsia" w:ascii="楷体" w:hAnsi="楷体" w:eastAsia="楷体"/>
                <w:color w:val="000000"/>
                <w:szCs w:val="24"/>
              </w:rPr>
              <w:t>稽核建议的针对性、有效性</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ascii="楷体" w:hAnsi="楷体" w:eastAsia="楷体"/>
                <w:color w:val="000000"/>
                <w:szCs w:val="24"/>
              </w:rPr>
              <w:t>ISO9000质量手册有效性的维护</w:t>
            </w:r>
          </w:p>
        </w:tc>
        <w:tc>
          <w:tcPr>
            <w:tcW w:w="6456" w:type="dxa"/>
            <w:noWrap w:val="0"/>
            <w:vAlign w:val="top"/>
          </w:tcPr>
          <w:p>
            <w:pPr>
              <w:jc w:val="both"/>
              <w:rPr>
                <w:rFonts w:ascii="楷体" w:hAnsi="楷体" w:eastAsia="楷体"/>
                <w:color w:val="000000"/>
                <w:szCs w:val="24"/>
              </w:rPr>
            </w:pPr>
            <w:r>
              <w:rPr>
                <w:rFonts w:ascii="楷体" w:hAnsi="楷体" w:eastAsia="楷体"/>
                <w:color w:val="000000"/>
                <w:szCs w:val="24"/>
              </w:rPr>
              <w:t>1.ISO</w:t>
            </w:r>
            <w:r>
              <w:rPr>
                <w:rFonts w:hint="eastAsia" w:ascii="楷体" w:hAnsi="楷体" w:eastAsia="楷体"/>
                <w:color w:val="000000"/>
                <w:szCs w:val="24"/>
              </w:rPr>
              <w:t>工作内部协调、督导和培训；</w:t>
            </w:r>
            <w:r>
              <w:rPr>
                <w:rFonts w:ascii="楷体" w:hAnsi="楷体" w:eastAsia="楷体"/>
                <w:color w:val="000000"/>
                <w:szCs w:val="24"/>
              </w:rPr>
              <w:t>2.</w:t>
            </w:r>
            <w:r>
              <w:rPr>
                <w:rFonts w:hint="eastAsia" w:ascii="楷体" w:hAnsi="楷体" w:eastAsia="楷体"/>
                <w:color w:val="000000"/>
                <w:szCs w:val="24"/>
              </w:rPr>
              <w:t>文件的及时修改与更新；</w:t>
            </w:r>
            <w:r>
              <w:rPr>
                <w:rFonts w:ascii="楷体" w:hAnsi="楷体" w:eastAsia="楷体"/>
                <w:color w:val="000000"/>
                <w:szCs w:val="24"/>
              </w:rPr>
              <w:t>3.ISO</w:t>
            </w:r>
            <w:r>
              <w:rPr>
                <w:rFonts w:hint="eastAsia" w:ascii="楷体" w:hAnsi="楷体" w:eastAsia="楷体"/>
                <w:color w:val="000000"/>
                <w:szCs w:val="24"/>
              </w:rPr>
              <w:t>协会的评价（质量、效率）</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会议组织质量</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会议组织安排的及时性，形式、主题、材料准备是否充分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会议记录、记要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与各分公司日常联络</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与各分公司保持畅通的信息联络</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电话、文件、</w:t>
            </w:r>
            <w:r>
              <w:rPr>
                <w:rFonts w:ascii="楷体" w:hAnsi="楷体" w:eastAsia="楷体"/>
                <w:color w:val="000000"/>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文件传递效率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按照文件的紧急程度按时、按质传递</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公司文件流转规定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文件制作效率和准确性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按照文件类型及时制作、印发</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公司公文管理规定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机要档案和文件的归档</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机要、文件、档案及时归档</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公司公文管理规定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公章使用准确性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用章类型、流程、批准程序正确</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公章管理办法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ascii="楷体" w:hAnsi="楷体" w:eastAsia="楷体"/>
                <w:color w:val="000000"/>
                <w:szCs w:val="24"/>
              </w:rPr>
              <w:t>OA系统使用管理</w:t>
            </w:r>
          </w:p>
        </w:tc>
        <w:tc>
          <w:tcPr>
            <w:tcW w:w="6456" w:type="dxa"/>
            <w:noWrap w:val="0"/>
            <w:vAlign w:val="top"/>
          </w:tcPr>
          <w:p>
            <w:pPr>
              <w:jc w:val="both"/>
              <w:rPr>
                <w:rFonts w:ascii="楷体" w:hAnsi="楷体" w:eastAsia="楷体"/>
                <w:color w:val="000000"/>
                <w:szCs w:val="24"/>
              </w:rPr>
            </w:pPr>
            <w:r>
              <w:rPr>
                <w:rFonts w:ascii="楷体" w:hAnsi="楷体" w:eastAsia="楷体"/>
                <w:color w:val="000000"/>
                <w:szCs w:val="24"/>
              </w:rPr>
              <w:t>OA</w:t>
            </w:r>
            <w:r>
              <w:rPr>
                <w:rFonts w:hint="eastAsia" w:ascii="楷体" w:hAnsi="楷体" w:eastAsia="楷体"/>
                <w:color w:val="000000"/>
                <w:szCs w:val="24"/>
              </w:rPr>
              <w:t>系统的正常使用</w:t>
            </w:r>
          </w:p>
        </w:tc>
        <w:tc>
          <w:tcPr>
            <w:tcW w:w="2986" w:type="dxa"/>
            <w:noWrap w:val="0"/>
            <w:vAlign w:val="top"/>
          </w:tcPr>
          <w:p>
            <w:pPr>
              <w:jc w:val="both"/>
              <w:rPr>
                <w:rFonts w:ascii="楷体" w:hAnsi="楷体" w:eastAsia="楷体"/>
                <w:color w:val="000000"/>
                <w:szCs w:val="24"/>
              </w:rPr>
            </w:pPr>
            <w:r>
              <w:rPr>
                <w:rFonts w:ascii="楷体" w:hAnsi="楷体" w:eastAsia="楷体"/>
                <w:color w:val="000000"/>
                <w:szCs w:val="24"/>
              </w:rPr>
              <w:t>OA</w:t>
            </w:r>
            <w:r>
              <w:rPr>
                <w:rFonts w:hint="eastAsia" w:ascii="楷体" w:hAnsi="楷体" w:eastAsia="楷体"/>
                <w:color w:val="000000"/>
                <w:szCs w:val="24"/>
              </w:rPr>
              <w:t>系统使用状况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总裁办对司机班服务满意度</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总裁评价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外事信息管理的效率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对外事信息及时处理的及时性与效率</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外部合作关系管理的效率与规范性</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对外合作项目开展的配合与管理效率</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总裁室满意度</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外事信息发布的及时性</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外事接待任务完成的效率与质量</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外事档案管理的系统性与规范性</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口译、笔议的及时性与准确性</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司机出车安全率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(安全出车次数</w:t>
            </w:r>
            <w:r>
              <w:rPr>
                <w:rFonts w:ascii="楷体" w:hAnsi="楷体" w:eastAsia="楷体"/>
                <w:color w:val="000000"/>
                <w:szCs w:val="24"/>
              </w:rPr>
              <w:t>/</w:t>
            </w:r>
            <w:r>
              <w:rPr>
                <w:rFonts w:hint="eastAsia" w:ascii="楷体" w:hAnsi="楷体" w:eastAsia="楷体"/>
                <w:color w:val="000000"/>
                <w:szCs w:val="24"/>
              </w:rPr>
              <w:t>实际出车次数)*100%</w:t>
            </w: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出入库手续齐全率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(应办手续</w:t>
            </w:r>
            <w:r>
              <w:rPr>
                <w:rFonts w:ascii="楷体" w:hAnsi="楷体" w:eastAsia="楷体"/>
                <w:color w:val="000000"/>
                <w:szCs w:val="24"/>
              </w:rPr>
              <w:t>/</w:t>
            </w:r>
            <w:r>
              <w:rPr>
                <w:rFonts w:hint="eastAsia" w:ascii="楷体" w:hAnsi="楷体" w:eastAsia="楷体"/>
                <w:color w:val="000000"/>
                <w:szCs w:val="24"/>
              </w:rPr>
              <w:t>实办手续)*100%</w:t>
            </w: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帐务差错数</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查出错误的帐务数</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帐务记录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安全事故发生次数</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分公司基层组织和思想建设</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员工文体活动及福利规划与实施</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外部联系维护满意度</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企业文化建设任务达成率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(实际达到的企业文化建设效果</w:t>
            </w:r>
            <w:r>
              <w:rPr>
                <w:rFonts w:ascii="楷体" w:hAnsi="楷体" w:eastAsia="楷体"/>
                <w:color w:val="000000"/>
                <w:szCs w:val="24"/>
              </w:rPr>
              <w:t>/</w:t>
            </w:r>
            <w:r>
              <w:rPr>
                <w:rFonts w:hint="eastAsia" w:ascii="楷体" w:hAnsi="楷体" w:eastAsia="楷体"/>
                <w:color w:val="000000"/>
                <w:szCs w:val="24"/>
              </w:rPr>
              <w:t>预期达到的效果)</w:t>
            </w:r>
            <w:r>
              <w:rPr>
                <w:rFonts w:ascii="楷体" w:hAnsi="楷体" w:eastAsia="楷体"/>
                <w:color w:val="000000"/>
                <w:szCs w:val="24"/>
              </w:rPr>
              <w:t>*100%</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新闻审稿准确率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(准确发布的新闻稿件</w:t>
            </w:r>
            <w:r>
              <w:rPr>
                <w:rFonts w:ascii="楷体" w:hAnsi="楷体" w:eastAsia="楷体"/>
                <w:color w:val="000000"/>
                <w:szCs w:val="24"/>
              </w:rPr>
              <w:t>/</w:t>
            </w:r>
            <w:r>
              <w:rPr>
                <w:rFonts w:hint="eastAsia" w:ascii="楷体" w:hAnsi="楷体" w:eastAsia="楷体"/>
                <w:color w:val="000000"/>
                <w:szCs w:val="24"/>
              </w:rPr>
              <w:t>全部发布的新闻稿件)</w:t>
            </w:r>
            <w:r>
              <w:rPr>
                <w:rFonts w:ascii="楷体" w:hAnsi="楷体" w:eastAsia="楷体"/>
                <w:color w:val="000000"/>
                <w:szCs w:val="24"/>
              </w:rPr>
              <w:t>*100%</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内部刊物按时出刊状况及质量评定</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公司宣传品制作</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分公司业务指导</w:t>
            </w:r>
          </w:p>
        </w:tc>
        <w:tc>
          <w:tcPr>
            <w:tcW w:w="6456" w:type="dxa"/>
            <w:noWrap w:val="0"/>
            <w:vAlign w:val="top"/>
          </w:tcPr>
          <w:p>
            <w:pPr>
              <w:jc w:val="both"/>
              <w:rPr>
                <w:rFonts w:ascii="楷体" w:hAnsi="楷体" w:eastAsia="楷体"/>
                <w:color w:val="000000"/>
                <w:szCs w:val="24"/>
              </w:rPr>
            </w:pP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宣传档案归档率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(归档宣传文档数</w:t>
            </w:r>
            <w:r>
              <w:rPr>
                <w:rFonts w:ascii="楷体" w:hAnsi="楷体" w:eastAsia="楷体"/>
                <w:color w:val="000000"/>
                <w:szCs w:val="24"/>
              </w:rPr>
              <w:t>/</w:t>
            </w:r>
            <w:r>
              <w:rPr>
                <w:rFonts w:hint="eastAsia" w:ascii="楷体" w:hAnsi="楷体" w:eastAsia="楷体"/>
                <w:color w:val="000000"/>
                <w:szCs w:val="24"/>
              </w:rPr>
              <w:t>文档总数)</w:t>
            </w:r>
            <w:r>
              <w:rPr>
                <w:rFonts w:ascii="楷体" w:hAnsi="楷体" w:eastAsia="楷体"/>
                <w:color w:val="000000"/>
                <w:szCs w:val="24"/>
              </w:rPr>
              <w:t>*100%</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文档记录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网站出错率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w:t>
            </w:r>
            <w:r>
              <w:rPr>
                <w:rFonts w:ascii="楷体" w:hAnsi="楷体" w:eastAsia="楷体"/>
                <w:color w:val="000000"/>
                <w:szCs w:val="24"/>
              </w:rPr>
              <w:t>页面出错个数/总页面数)*100%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客户投诉记录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设计制作出错率</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（设计制作规范/制作总页数）*100%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测试记录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信息内容出错率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w:t>
            </w:r>
            <w:r>
              <w:rPr>
                <w:rFonts w:ascii="楷体" w:hAnsi="楷体" w:eastAsia="楷体"/>
                <w:color w:val="000000"/>
                <w:szCs w:val="24"/>
              </w:rPr>
              <w:t>信息内容及错别字出错数/总的信息更新量</w:t>
            </w:r>
            <w:r>
              <w:rPr>
                <w:rFonts w:hint="eastAsia" w:ascii="楷体" w:hAnsi="楷体" w:eastAsia="楷体"/>
                <w:color w:val="000000"/>
                <w:szCs w:val="24"/>
              </w:rPr>
              <w:t>)</w:t>
            </w:r>
          </w:p>
          <w:p>
            <w:pPr>
              <w:jc w:val="both"/>
              <w:rPr>
                <w:rFonts w:hint="eastAsia" w:ascii="楷体" w:hAnsi="楷体" w:eastAsia="楷体"/>
                <w:color w:val="000000"/>
                <w:szCs w:val="24"/>
              </w:rPr>
            </w:pPr>
            <w:r>
              <w:rPr>
                <w:rFonts w:hint="eastAsia" w:ascii="楷体" w:hAnsi="楷体" w:eastAsia="楷体"/>
                <w:color w:val="000000"/>
                <w:szCs w:val="24"/>
              </w:rPr>
              <w:t>*100%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信息更新延误率</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信息更新时间是否依照规定时间执行</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服务响应时间</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向客户提供服务的响应时间的平均值</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客户服务记录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hint="eastAsia" w:ascii="楷体" w:hAnsi="楷体" w:eastAsia="楷体"/>
                <w:snapToGrid w:val="0"/>
                <w:color w:val="000000"/>
                <w:szCs w:val="24"/>
              </w:rPr>
              <w:t>“XX</w:t>
            </w:r>
            <w:r>
              <w:rPr>
                <w:rFonts w:ascii="楷体" w:hAnsi="楷体" w:eastAsia="楷体"/>
                <w:snapToGrid w:val="0"/>
                <w:color w:val="000000"/>
                <w:szCs w:val="24"/>
              </w:rPr>
              <w:t>在线</w:t>
            </w:r>
            <w:r>
              <w:rPr>
                <w:rFonts w:hint="eastAsia" w:ascii="楷体" w:hAnsi="楷体" w:eastAsia="楷体"/>
                <w:snapToGrid w:val="0"/>
                <w:color w:val="000000"/>
                <w:szCs w:val="24"/>
              </w:rPr>
              <w:t>”</w:t>
            </w:r>
            <w:r>
              <w:rPr>
                <w:rFonts w:ascii="楷体" w:hAnsi="楷体" w:eastAsia="楷体"/>
                <w:snapToGrid w:val="0"/>
                <w:color w:val="000000"/>
                <w:szCs w:val="24"/>
              </w:rPr>
              <w:t>知名度的提高</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对随机调研的业界和最终客户对</w:t>
            </w:r>
            <w:r>
              <w:rPr>
                <w:rFonts w:hint="eastAsia" w:ascii="楷体" w:hAnsi="楷体" w:eastAsia="楷体"/>
                <w:color w:val="000000"/>
                <w:szCs w:val="24"/>
              </w:rPr>
              <w:t>“XX</w:t>
            </w:r>
            <w:r>
              <w:rPr>
                <w:rFonts w:ascii="楷体" w:hAnsi="楷体" w:eastAsia="楷体"/>
                <w:color w:val="000000"/>
                <w:szCs w:val="24"/>
              </w:rPr>
              <w:t>在线</w:t>
            </w:r>
            <w:r>
              <w:rPr>
                <w:rFonts w:hint="eastAsia" w:ascii="楷体" w:hAnsi="楷体" w:eastAsia="楷体"/>
                <w:color w:val="000000"/>
                <w:szCs w:val="24"/>
              </w:rPr>
              <w:t>”</w:t>
            </w:r>
            <w:r>
              <w:rPr>
                <w:rFonts w:ascii="楷体" w:hAnsi="楷体" w:eastAsia="楷体"/>
                <w:color w:val="000000"/>
                <w:szCs w:val="24"/>
              </w:rPr>
              <w:t>认知度的提高百分比</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市场调查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媒体曝光次数</w:t>
            </w:r>
          </w:p>
        </w:tc>
        <w:tc>
          <w:tcPr>
            <w:tcW w:w="6456" w:type="dxa"/>
            <w:noWrap w:val="0"/>
            <w:vAlign w:val="top"/>
          </w:tcPr>
          <w:p>
            <w:pPr>
              <w:jc w:val="both"/>
              <w:rPr>
                <w:rFonts w:ascii="楷体" w:hAnsi="楷体" w:eastAsia="楷体"/>
                <w:color w:val="000000"/>
                <w:szCs w:val="24"/>
              </w:rPr>
            </w:pPr>
            <w:r>
              <w:rPr>
                <w:rFonts w:ascii="楷体" w:hAnsi="楷体" w:eastAsia="楷体"/>
                <w:color w:val="000000"/>
                <w:szCs w:val="24"/>
              </w:rPr>
              <w:t>有关</w:t>
            </w:r>
            <w:r>
              <w:rPr>
                <w:rFonts w:hint="eastAsia" w:ascii="楷体" w:hAnsi="楷体" w:eastAsia="楷体"/>
                <w:color w:val="000000"/>
                <w:szCs w:val="24"/>
              </w:rPr>
              <w:t>“XX</w:t>
            </w:r>
            <w:r>
              <w:rPr>
                <w:rFonts w:ascii="楷体" w:hAnsi="楷体" w:eastAsia="楷体"/>
                <w:color w:val="000000"/>
                <w:szCs w:val="24"/>
              </w:rPr>
              <w:t>在线</w:t>
            </w:r>
            <w:r>
              <w:rPr>
                <w:rFonts w:hint="eastAsia" w:ascii="楷体" w:hAnsi="楷体" w:eastAsia="楷体"/>
                <w:color w:val="000000"/>
                <w:szCs w:val="24"/>
              </w:rPr>
              <w:t>”</w:t>
            </w:r>
            <w:r>
              <w:rPr>
                <w:rFonts w:ascii="楷体" w:hAnsi="楷体" w:eastAsia="楷体"/>
                <w:color w:val="000000"/>
                <w:szCs w:val="24"/>
              </w:rPr>
              <w:t>的文章在新闻媒体上发布的数量</w:t>
            </w:r>
          </w:p>
        </w:tc>
        <w:tc>
          <w:tcPr>
            <w:tcW w:w="2986" w:type="dxa"/>
            <w:noWrap w:val="0"/>
            <w:vAlign w:val="top"/>
          </w:tcPr>
          <w:p>
            <w:pPr>
              <w:jc w:val="both"/>
              <w:rPr>
                <w:rFonts w:ascii="楷体" w:hAnsi="楷体" w:eastAsia="楷体"/>
                <w:color w:val="000000"/>
                <w:szCs w:val="24"/>
              </w:rPr>
            </w:pPr>
            <w:r>
              <w:rPr>
                <w:rFonts w:ascii="楷体" w:hAnsi="楷体" w:eastAsia="楷体"/>
                <w:color w:val="000000"/>
                <w:szCs w:val="24"/>
              </w:rPr>
              <w:t>媒体剪报汇总记录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snapToGrid w:val="0"/>
                <w:color w:val="000000"/>
                <w:szCs w:val="24"/>
              </w:rPr>
            </w:pPr>
            <w:r>
              <w:rPr>
                <w:rFonts w:ascii="楷体" w:hAnsi="楷体" w:eastAsia="楷体"/>
                <w:snapToGrid w:val="0"/>
                <w:color w:val="000000"/>
                <w:szCs w:val="24"/>
              </w:rPr>
              <w:t>媒体危机情况处理成功率</w:t>
            </w:r>
          </w:p>
        </w:tc>
        <w:tc>
          <w:tcPr>
            <w:tcW w:w="6456" w:type="dxa"/>
            <w:noWrap w:val="0"/>
            <w:vAlign w:val="top"/>
          </w:tcPr>
          <w:p>
            <w:pPr>
              <w:jc w:val="both"/>
              <w:rPr>
                <w:rFonts w:ascii="楷体" w:hAnsi="楷体" w:eastAsia="楷体"/>
                <w:color w:val="000000"/>
                <w:szCs w:val="24"/>
              </w:rPr>
            </w:pPr>
            <w:r>
              <w:rPr>
                <w:rFonts w:ascii="楷体" w:hAnsi="楷体" w:eastAsia="楷体"/>
                <w:color w:val="000000"/>
                <w:szCs w:val="24"/>
              </w:rPr>
              <w:t>(媒体危机情况处理成功案例数/媒体危机情况案例总数)×100%</w:t>
            </w:r>
          </w:p>
        </w:tc>
        <w:tc>
          <w:tcPr>
            <w:tcW w:w="2986" w:type="dxa"/>
            <w:noWrap w:val="0"/>
            <w:vAlign w:val="top"/>
          </w:tcPr>
          <w:p>
            <w:pPr>
              <w:jc w:val="both"/>
              <w:rPr>
                <w:rFonts w:ascii="楷体" w:hAnsi="楷体" w:eastAsia="楷体"/>
                <w:color w:val="000000"/>
                <w:szCs w:val="24"/>
              </w:rPr>
            </w:pPr>
            <w:r>
              <w:rPr>
                <w:rFonts w:ascii="楷体" w:hAnsi="楷体" w:eastAsia="楷体"/>
                <w:color w:val="000000"/>
                <w:szCs w:val="24"/>
              </w:rPr>
              <w:t>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应用开发出错率</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(出错的功能块个数/总功能块数)*100%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软件开发文档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系统和网络故障率</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(发生故障次数/（设备数*天数))*100%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系统故障记录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业务管理规范程度及效率</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业务流程顺畅/业务管理规定书面化/业务流程高效化</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实际业务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项目报告按时完成率</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(按时完成的项目报告数量/需要完成的项目报告数量)*100%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项目成功率</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(成功的项目数量/项目总数量</w:t>
            </w:r>
            <w:r>
              <w:rPr>
                <w:rFonts w:hint="eastAsia" w:ascii="楷体" w:hAnsi="楷体" w:eastAsia="楷体"/>
                <w:color w:val="000000"/>
                <w:szCs w:val="24"/>
              </w:rPr>
              <w:t>)</w:t>
            </w:r>
            <w:r>
              <w:rPr>
                <w:rFonts w:ascii="楷体" w:hAnsi="楷体" w:eastAsia="楷体"/>
                <w:color w:val="000000"/>
                <w:szCs w:val="24"/>
              </w:rPr>
              <w:t>*100%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网站建设配合流畅度</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完备的策划案、编辑和设计制作的完整衔接</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客户档案和业务记录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客户档案和业务单证完备率</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(完备的客户档案和业务单证数量/客户档案和发生业务总数</w:t>
            </w:r>
            <w:r>
              <w:rPr>
                <w:rFonts w:hint="eastAsia" w:ascii="楷体" w:hAnsi="楷体" w:eastAsia="楷体"/>
                <w:color w:val="000000"/>
                <w:szCs w:val="24"/>
              </w:rPr>
              <w:t>)</w:t>
            </w:r>
            <w:r>
              <w:rPr>
                <w:rFonts w:ascii="楷体" w:hAnsi="楷体" w:eastAsia="楷体"/>
                <w:color w:val="000000"/>
                <w:szCs w:val="24"/>
              </w:rPr>
              <w:t>*100%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客户档案和业务记录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档案管理出错率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w:t>
            </w:r>
            <w:r>
              <w:rPr>
                <w:rFonts w:ascii="楷体" w:hAnsi="楷体" w:eastAsia="楷体"/>
                <w:color w:val="000000"/>
                <w:szCs w:val="24"/>
              </w:rPr>
              <w:t>查出管理有误的档案数量/档案总数</w:t>
            </w:r>
            <w:r>
              <w:rPr>
                <w:rFonts w:hint="eastAsia" w:ascii="楷体" w:hAnsi="楷体" w:eastAsia="楷体"/>
                <w:color w:val="000000"/>
                <w:szCs w:val="24"/>
              </w:rPr>
              <w:t>)</w:t>
            </w:r>
            <w:r>
              <w:rPr>
                <w:rFonts w:ascii="楷体" w:hAnsi="楷体" w:eastAsia="楷体"/>
                <w:color w:val="000000"/>
                <w:szCs w:val="24"/>
              </w:rPr>
              <w:t>*100%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档案管理检查记录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档案更新延误率</w:t>
            </w:r>
          </w:p>
        </w:tc>
        <w:tc>
          <w:tcPr>
            <w:tcW w:w="645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w:t>
            </w:r>
            <w:r>
              <w:rPr>
                <w:rFonts w:ascii="楷体" w:hAnsi="楷体" w:eastAsia="楷体"/>
                <w:color w:val="000000"/>
                <w:szCs w:val="24"/>
              </w:rPr>
              <w:t>延误档案更新的数量/档案总数</w:t>
            </w:r>
            <w:r>
              <w:rPr>
                <w:rFonts w:hint="eastAsia" w:ascii="楷体" w:hAnsi="楷体" w:eastAsia="楷体"/>
                <w:color w:val="000000"/>
                <w:szCs w:val="24"/>
              </w:rPr>
              <w:t>)</w:t>
            </w:r>
            <w:r>
              <w:rPr>
                <w:rFonts w:ascii="楷体" w:hAnsi="楷体" w:eastAsia="楷体"/>
                <w:color w:val="000000"/>
                <w:szCs w:val="24"/>
              </w:rPr>
              <w:t>*100%</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档案管理检查记录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总经理满意度</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接受随机调研总经理对文章撰稿等方方面面满意度评分值</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总经理满意度调研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hint="eastAsia" w:ascii="楷体" w:hAnsi="楷体" w:eastAsia="楷体"/>
                <w:color w:val="000000"/>
                <w:szCs w:val="24"/>
              </w:rPr>
            </w:pPr>
            <w:r>
              <w:rPr>
                <w:rFonts w:ascii="楷体" w:hAnsi="楷体" w:eastAsia="楷体"/>
                <w:color w:val="000000"/>
                <w:szCs w:val="24"/>
              </w:rPr>
              <w:t>项目调研报告的认可数量</w:t>
            </w:r>
          </w:p>
        </w:tc>
        <w:tc>
          <w:tcPr>
            <w:tcW w:w="6456" w:type="dxa"/>
            <w:noWrap w:val="0"/>
            <w:vAlign w:val="top"/>
          </w:tcPr>
          <w:p>
            <w:pPr>
              <w:jc w:val="both"/>
              <w:rPr>
                <w:rFonts w:hint="eastAsia" w:ascii="楷体" w:hAnsi="楷体" w:eastAsia="楷体"/>
                <w:color w:val="000000"/>
                <w:szCs w:val="24"/>
              </w:rPr>
            </w:pPr>
            <w:r>
              <w:rPr>
                <w:rFonts w:ascii="楷体" w:hAnsi="楷体" w:eastAsia="楷体"/>
                <w:color w:val="000000"/>
                <w:szCs w:val="24"/>
              </w:rPr>
              <w:t>项目调研报告被认可的实际数量</w:t>
            </w:r>
          </w:p>
        </w:tc>
        <w:tc>
          <w:tcPr>
            <w:tcW w:w="2986" w:type="dxa"/>
            <w:noWrap w:val="0"/>
            <w:vAlign w:val="top"/>
          </w:tcPr>
          <w:p>
            <w:pPr>
              <w:jc w:val="both"/>
              <w:rPr>
                <w:rFonts w:hint="eastAsia" w:ascii="楷体" w:hAnsi="楷体" w:eastAsia="楷体"/>
                <w:color w:val="000000"/>
                <w:szCs w:val="24"/>
              </w:rPr>
            </w:pPr>
            <w:r>
              <w:rPr>
                <w:rFonts w:ascii="楷体" w:hAnsi="楷体" w:eastAsia="楷体"/>
                <w:color w:val="000000"/>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工作制度和工作流程实施、改进比率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(实施的新制度和流程数/制定的新制度和流程总数)*100%</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政策风险控制效果</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组合经理指令执行效果</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项目论证的参与程度、效果</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工作文档管理的完整性和时效性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研究报告预测的明确与准确程度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(直接上级评估标准，聘请外部专家、合作伙伴对每篇研究报告进行评价</w:t>
            </w:r>
            <w:r>
              <w:rPr>
                <w:rFonts w:ascii="楷体" w:hAnsi="楷体" w:eastAsia="楷体"/>
                <w:color w:val="000000"/>
                <w:szCs w:val="24"/>
              </w:rPr>
              <w:t>)</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研究报告数量</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公开发表研究报告数量</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数据引用、处理的合理性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研究报告深度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项目计划目标达成率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(直接上级评估标准)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新产品开发及市场推广成功率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(研究开发部经理评估标准)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新客户开发成功率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(研究开发部经理评估标准)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新产品开发数量</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(研究开发部经理评估标准)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后台作业差错率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(中心总经理评估标准)</w:t>
            </w:r>
          </w:p>
        </w:tc>
        <w:tc>
          <w:tcPr>
            <w:tcW w:w="298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作业流程制度化和标准化程度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(中心总经理评估标准，由总经理评估，包括所有负责的后台系统</w:t>
            </w:r>
            <w:r>
              <w:rPr>
                <w:rFonts w:ascii="楷体" w:hAnsi="楷体" w:eastAsia="楷体"/>
                <w:color w:val="000000"/>
                <w:szCs w:val="24"/>
              </w:rPr>
              <w:t>)</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作业流程优化及实施程度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(中心总经理评估标准)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后台作业的效率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(中心总经理评估标准)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后台支持的主动性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(中心总经理评估标准)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系统故障率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系统危机处理效率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系统管理标准化、制度化程度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系统管理作业流程优化的实施程度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工作文档管理的完整性和时效性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清算数据时效与准确性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清算作业流程标准化、制度化程度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清算作业程序优化与实施程度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行政服务工作量与效率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资金划拨在途时间</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资金调拨作业流程制度化、标准化程度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资金调拨作业流程优化及实施程度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流动性报表及现金流量预测的有效性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法定会计核算差错率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管理信息报表的有效性、准确性和及时性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未发现的交易差错比率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法律文书起草的规范性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法律文书服务的效率</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参与研究项目提供法律建议的有效性</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投资法律风险控制效果</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销售部门满意度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(满意度调查问卷评估标准)</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内部投资经理满意度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中心投资经理采用满意度调查问卷评估</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内部客户满意度</w:t>
            </w:r>
            <w:r>
              <w:rPr>
                <w:rFonts w:ascii="楷体" w:hAnsi="楷体" w:eastAsia="楷体"/>
                <w:color w:val="000000"/>
                <w:szCs w:val="24"/>
              </w:rPr>
              <w:t>(</w:t>
            </w:r>
            <w:r>
              <w:rPr>
                <w:rFonts w:hint="eastAsia" w:ascii="楷体" w:hAnsi="楷体" w:eastAsia="楷体"/>
                <w:color w:val="000000"/>
                <w:szCs w:val="24"/>
              </w:rPr>
              <w:t>中心资产组合管理部、研究开发部评估</w:t>
            </w:r>
            <w:r>
              <w:rPr>
                <w:rFonts w:ascii="楷体" w:hAnsi="楷体" w:eastAsia="楷体"/>
                <w:color w:val="000000"/>
                <w:szCs w:val="24"/>
              </w:rPr>
              <w:t>)</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资产组合部、研究开发部、总经理采用满意度调查问卷评估</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内部投资经理</w:t>
            </w:r>
            <w:r>
              <w:rPr>
                <w:rFonts w:ascii="楷体" w:hAnsi="楷体" w:eastAsia="楷体"/>
                <w:color w:val="000000"/>
                <w:szCs w:val="24"/>
              </w:rPr>
              <w:t>/</w:t>
            </w:r>
            <w:r>
              <w:rPr>
                <w:rFonts w:hint="eastAsia" w:ascii="楷体" w:hAnsi="楷体" w:eastAsia="楷体"/>
                <w:color w:val="000000"/>
                <w:szCs w:val="24"/>
              </w:rPr>
              <w:t>研究员满意度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满意度问卷调查</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投资经理</w:t>
            </w:r>
            <w:r>
              <w:rPr>
                <w:rFonts w:ascii="楷体" w:hAnsi="楷体" w:eastAsia="楷体"/>
                <w:color w:val="000000"/>
                <w:szCs w:val="24"/>
              </w:rPr>
              <w:t>/</w:t>
            </w:r>
            <w:r>
              <w:rPr>
                <w:rFonts w:hint="eastAsia" w:ascii="楷体" w:hAnsi="楷体" w:eastAsia="楷体"/>
                <w:color w:val="000000"/>
                <w:szCs w:val="24"/>
              </w:rPr>
              <w:t>投资会计满意度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满意度问卷调查</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3912" w:type="dxa"/>
            <w:noWrap w:val="0"/>
            <w:vAlign w:val="top"/>
          </w:tcPr>
          <w:p>
            <w:pPr>
              <w:jc w:val="both"/>
              <w:rPr>
                <w:rFonts w:ascii="楷体" w:hAnsi="楷体" w:eastAsia="楷体"/>
                <w:color w:val="000000"/>
                <w:szCs w:val="24"/>
              </w:rPr>
            </w:pPr>
            <w:r>
              <w:rPr>
                <w:rFonts w:hint="eastAsia" w:ascii="楷体" w:hAnsi="楷体" w:eastAsia="楷体"/>
                <w:color w:val="000000"/>
                <w:szCs w:val="24"/>
              </w:rPr>
              <w:t>投资经理、财务经理满意度</w:t>
            </w:r>
          </w:p>
        </w:tc>
        <w:tc>
          <w:tcPr>
            <w:tcW w:w="6456" w:type="dxa"/>
            <w:noWrap w:val="0"/>
            <w:vAlign w:val="top"/>
          </w:tcPr>
          <w:p>
            <w:pPr>
              <w:jc w:val="both"/>
              <w:rPr>
                <w:rFonts w:ascii="楷体" w:hAnsi="楷体" w:eastAsia="楷体"/>
                <w:color w:val="000000"/>
                <w:szCs w:val="24"/>
              </w:rPr>
            </w:pPr>
            <w:r>
              <w:rPr>
                <w:rFonts w:hint="eastAsia" w:ascii="楷体" w:hAnsi="楷体" w:eastAsia="楷体"/>
                <w:color w:val="000000"/>
                <w:szCs w:val="24"/>
              </w:rPr>
              <w:t>满意度问卷调查</w:t>
            </w:r>
          </w:p>
        </w:tc>
        <w:tc>
          <w:tcPr>
            <w:tcW w:w="298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w:t>
            </w:r>
          </w:p>
        </w:tc>
      </w:tr>
    </w:tbl>
    <w:p>
      <w:pPr>
        <w:jc w:val="center"/>
        <w:rPr>
          <w:rFonts w:hint="eastAsia" w:ascii="楷体" w:hAnsi="楷体" w:eastAsia="楷体"/>
          <w:color w:val="000000"/>
          <w:szCs w:val="32"/>
        </w:rPr>
      </w:pPr>
      <w:r>
        <w:rPr>
          <w:rFonts w:hint="eastAsia" w:ascii="楷体" w:hAnsi="楷体" w:eastAsia="楷体"/>
          <w:color w:val="000000"/>
          <w:szCs w:val="32"/>
        </w:rPr>
        <w:br w:type="page"/>
      </w:r>
      <w:r>
        <w:rPr>
          <w:rFonts w:hint="eastAsia" w:ascii="楷体" w:hAnsi="楷体" w:eastAsia="楷体"/>
          <w:b/>
          <w:color w:val="000000"/>
          <w:sz w:val="28"/>
          <w:szCs w:val="32"/>
        </w:rPr>
        <w:t>学习与成长指标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6300"/>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shd w:val="clear" w:color="auto" w:fill="FFFF00"/>
            <w:noWrap w:val="0"/>
            <w:vAlign w:val="top"/>
          </w:tcPr>
          <w:p>
            <w:pPr>
              <w:jc w:val="center"/>
              <w:rPr>
                <w:rFonts w:hint="eastAsia" w:ascii="楷体" w:hAnsi="楷体" w:eastAsia="楷体"/>
                <w:color w:val="000000"/>
                <w:szCs w:val="24"/>
              </w:rPr>
            </w:pPr>
            <w:r>
              <w:rPr>
                <w:rFonts w:hint="eastAsia" w:ascii="楷体" w:hAnsi="楷体" w:eastAsia="楷体"/>
                <w:color w:val="000000"/>
                <w:szCs w:val="24"/>
              </w:rPr>
              <w:t>关键绩效指标</w:t>
            </w:r>
          </w:p>
        </w:tc>
        <w:tc>
          <w:tcPr>
            <w:tcW w:w="6300" w:type="dxa"/>
            <w:shd w:val="clear" w:color="auto" w:fill="FFFF00"/>
            <w:noWrap w:val="0"/>
            <w:vAlign w:val="top"/>
          </w:tcPr>
          <w:p>
            <w:pPr>
              <w:jc w:val="center"/>
              <w:rPr>
                <w:rFonts w:hint="eastAsia" w:ascii="楷体" w:hAnsi="楷体" w:eastAsia="楷体"/>
                <w:color w:val="000000"/>
                <w:szCs w:val="24"/>
              </w:rPr>
            </w:pPr>
            <w:r>
              <w:rPr>
                <w:rFonts w:hint="eastAsia" w:ascii="楷体" w:hAnsi="楷体" w:eastAsia="楷体"/>
                <w:color w:val="000000"/>
                <w:szCs w:val="24"/>
              </w:rPr>
              <w:t>指标定义/计算公式</w:t>
            </w:r>
          </w:p>
        </w:tc>
        <w:tc>
          <w:tcPr>
            <w:tcW w:w="3066" w:type="dxa"/>
            <w:shd w:val="clear" w:color="auto" w:fill="FFFF00"/>
            <w:noWrap w:val="0"/>
            <w:vAlign w:val="top"/>
          </w:tcPr>
          <w:p>
            <w:pPr>
              <w:jc w:val="center"/>
              <w:rPr>
                <w:rFonts w:hint="eastAsia" w:ascii="楷体" w:hAnsi="楷体" w:eastAsia="楷体"/>
                <w:color w:val="000000"/>
                <w:szCs w:val="24"/>
              </w:rPr>
            </w:pPr>
            <w:r>
              <w:rPr>
                <w:rFonts w:hint="eastAsia" w:ascii="楷体" w:hAnsi="楷体" w:eastAsia="楷体"/>
                <w:color w:val="000000"/>
                <w:szCs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个人培训参加率</w:t>
            </w:r>
          </w:p>
        </w:tc>
        <w:tc>
          <w:tcPr>
            <w:tcW w:w="6300" w:type="dxa"/>
            <w:noWrap w:val="0"/>
            <w:vAlign w:val="top"/>
          </w:tcPr>
          <w:p>
            <w:pPr>
              <w:jc w:val="both"/>
              <w:rPr>
                <w:rFonts w:hint="eastAsia" w:ascii="楷体" w:hAnsi="楷体" w:eastAsia="楷体"/>
                <w:snapToGrid w:val="0"/>
                <w:color w:val="000000"/>
                <w:szCs w:val="24"/>
              </w:rPr>
            </w:pPr>
            <w:r>
              <w:rPr>
                <w:rFonts w:hint="eastAsia" w:ascii="楷体" w:hAnsi="楷体" w:eastAsia="楷体"/>
                <w:snapToGrid w:val="0"/>
                <w:color w:val="000000"/>
                <w:szCs w:val="24"/>
              </w:rPr>
              <w:t>(实际参加培训次数</w:t>
            </w:r>
            <w:r>
              <w:rPr>
                <w:rFonts w:ascii="楷体" w:hAnsi="楷体" w:eastAsia="楷体"/>
                <w:snapToGrid w:val="0"/>
                <w:color w:val="000000"/>
                <w:szCs w:val="24"/>
              </w:rPr>
              <w:t>/规定应参加培训</w:t>
            </w:r>
            <w:r>
              <w:rPr>
                <w:rFonts w:hint="eastAsia" w:ascii="楷体" w:hAnsi="楷体" w:eastAsia="楷体"/>
                <w:snapToGrid w:val="0"/>
                <w:color w:val="000000"/>
                <w:szCs w:val="24"/>
              </w:rPr>
              <w:t>次</w:t>
            </w:r>
            <w:r>
              <w:rPr>
                <w:rFonts w:ascii="楷体" w:hAnsi="楷体" w:eastAsia="楷体"/>
                <w:snapToGrid w:val="0"/>
                <w:color w:val="000000"/>
                <w:szCs w:val="24"/>
              </w:rPr>
              <w:t>数</w:t>
            </w:r>
            <w:r>
              <w:rPr>
                <w:rFonts w:hint="eastAsia" w:ascii="楷体" w:hAnsi="楷体" w:eastAsia="楷体"/>
                <w:snapToGrid w:val="0"/>
                <w:color w:val="000000"/>
                <w:szCs w:val="24"/>
              </w:rPr>
              <w:t>)</w:t>
            </w:r>
          </w:p>
          <w:p>
            <w:pPr>
              <w:jc w:val="both"/>
              <w:rPr>
                <w:rFonts w:hint="eastAsia" w:ascii="楷体" w:hAnsi="楷体" w:eastAsia="楷体"/>
                <w:color w:val="000000"/>
                <w:szCs w:val="24"/>
              </w:rPr>
            </w:pPr>
            <w:r>
              <w:rPr>
                <w:rFonts w:ascii="楷体" w:hAnsi="楷体" w:eastAsia="楷体"/>
                <w:snapToGrid w:val="0"/>
                <w:color w:val="000000"/>
                <w:szCs w:val="24"/>
                <w:lang w:eastAsia="en-US"/>
              </w:rPr>
              <w:t>*100%</w:t>
            </w:r>
          </w:p>
        </w:tc>
        <w:tc>
          <w:tcPr>
            <w:tcW w:w="306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培训出勤记录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snapToGrid w:val="0"/>
                <w:color w:val="000000"/>
                <w:szCs w:val="24"/>
                <w:lang w:eastAsia="en-US"/>
              </w:rPr>
            </w:pPr>
            <w:r>
              <w:rPr>
                <w:rFonts w:ascii="楷体" w:hAnsi="楷体" w:eastAsia="楷体"/>
                <w:snapToGrid w:val="0"/>
                <w:color w:val="000000"/>
                <w:szCs w:val="24"/>
                <w:lang w:eastAsia="en-US"/>
              </w:rPr>
              <w:t>部门培训计划完成率</w:t>
            </w:r>
          </w:p>
        </w:tc>
        <w:tc>
          <w:tcPr>
            <w:tcW w:w="6300"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(部门培训实际完成情况/计划完成量)</w:t>
            </w:r>
          </w:p>
          <w:p>
            <w:pPr>
              <w:jc w:val="both"/>
              <w:rPr>
                <w:rFonts w:hint="eastAsia" w:ascii="楷体" w:hAnsi="楷体" w:eastAsia="楷体"/>
                <w:color w:val="000000"/>
                <w:szCs w:val="24"/>
              </w:rPr>
            </w:pPr>
            <w:r>
              <w:rPr>
                <w:rFonts w:hint="eastAsia" w:ascii="楷体" w:hAnsi="楷体" w:eastAsia="楷体"/>
                <w:color w:val="000000"/>
                <w:szCs w:val="24"/>
              </w:rPr>
              <w:t>*100%</w:t>
            </w:r>
          </w:p>
        </w:tc>
        <w:tc>
          <w:tcPr>
            <w:tcW w:w="306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部门培训计划记录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提出建议的数量和质量</w:t>
            </w:r>
            <w:r>
              <w:rPr>
                <w:rFonts w:ascii="楷体" w:hAnsi="楷体" w:eastAsia="楷体"/>
                <w:color w:val="000000"/>
                <w:szCs w:val="24"/>
              </w:rPr>
              <w:t>(鼓励创意性指标)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领导认可的新产品建议的数量和质量</w:t>
            </w:r>
          </w:p>
        </w:tc>
        <w:tc>
          <w:tcPr>
            <w:tcW w:w="306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公司内勤培训规划的制定及实施</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制订公司总体及各岗位的培训规划，并组织实施</w:t>
            </w:r>
          </w:p>
        </w:tc>
        <w:tc>
          <w:tcPr>
            <w:tcW w:w="3066" w:type="dxa"/>
            <w:noWrap w:val="0"/>
            <w:vAlign w:val="top"/>
          </w:tcPr>
          <w:p>
            <w:pPr>
              <w:jc w:val="both"/>
              <w:rPr>
                <w:rFonts w:ascii="楷体" w:hAnsi="楷体" w:eastAsia="楷体"/>
                <w:color w:val="000000"/>
                <w:szCs w:val="24"/>
              </w:rPr>
            </w:pPr>
            <w:r>
              <w:rPr>
                <w:rFonts w:hint="eastAsia" w:ascii="楷体" w:hAnsi="楷体" w:eastAsia="楷体"/>
                <w:color w:val="000000"/>
                <w:szCs w:val="24"/>
              </w:rPr>
              <w:t>上级领导的评价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团队建设成功率</w:t>
            </w:r>
          </w:p>
        </w:tc>
        <w:tc>
          <w:tcPr>
            <w:tcW w:w="6300" w:type="dxa"/>
            <w:noWrap w:val="0"/>
            <w:vAlign w:val="top"/>
          </w:tcPr>
          <w:p>
            <w:pPr>
              <w:jc w:val="both"/>
              <w:rPr>
                <w:rFonts w:ascii="楷体" w:hAnsi="楷体" w:eastAsia="楷体"/>
                <w:color w:val="000000"/>
                <w:szCs w:val="24"/>
              </w:rPr>
            </w:pPr>
          </w:p>
        </w:tc>
        <w:tc>
          <w:tcPr>
            <w:tcW w:w="306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员工自然流动率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(离职人数</w:t>
            </w:r>
            <w:r>
              <w:rPr>
                <w:rFonts w:ascii="楷体" w:hAnsi="楷体" w:eastAsia="楷体"/>
                <w:color w:val="000000"/>
                <w:szCs w:val="24"/>
              </w:rPr>
              <w:t>/</w:t>
            </w:r>
            <w:r>
              <w:rPr>
                <w:rFonts w:hint="eastAsia" w:ascii="楷体" w:hAnsi="楷体" w:eastAsia="楷体"/>
                <w:color w:val="000000"/>
                <w:szCs w:val="24"/>
              </w:rPr>
              <w:t>现有人数)*100%</w:t>
            </w:r>
          </w:p>
        </w:tc>
        <w:tc>
          <w:tcPr>
            <w:tcW w:w="3066" w:type="dxa"/>
            <w:noWrap w:val="0"/>
            <w:vAlign w:val="top"/>
          </w:tcPr>
          <w:p>
            <w:pPr>
              <w:jc w:val="both"/>
              <w:rPr>
                <w:rFonts w:ascii="楷体" w:hAnsi="楷体" w:eastAsia="楷体"/>
                <w:color w:val="000000"/>
                <w:szCs w:val="24"/>
              </w:rPr>
            </w:pPr>
            <w:r>
              <w:rPr>
                <w:rFonts w:hint="eastAsia" w:ascii="楷体" w:hAnsi="楷体" w:eastAsia="楷体"/>
                <w:color w:val="000000"/>
                <w:szCs w:val="24"/>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p>
        </w:tc>
        <w:tc>
          <w:tcPr>
            <w:tcW w:w="6300" w:type="dxa"/>
            <w:noWrap w:val="0"/>
            <w:vAlign w:val="top"/>
          </w:tcPr>
          <w:p>
            <w:pPr>
              <w:jc w:val="both"/>
              <w:rPr>
                <w:rFonts w:ascii="楷体" w:hAnsi="楷体" w:eastAsia="楷体"/>
                <w:color w:val="000000"/>
                <w:szCs w:val="24"/>
              </w:rPr>
            </w:pPr>
          </w:p>
        </w:tc>
        <w:tc>
          <w:tcPr>
            <w:tcW w:w="306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员工合作性</w:t>
            </w:r>
          </w:p>
        </w:tc>
        <w:tc>
          <w:tcPr>
            <w:tcW w:w="6300" w:type="dxa"/>
            <w:noWrap w:val="0"/>
            <w:vAlign w:val="top"/>
          </w:tcPr>
          <w:p>
            <w:pPr>
              <w:jc w:val="both"/>
              <w:rPr>
                <w:rFonts w:ascii="楷体" w:hAnsi="楷体" w:eastAsia="楷体"/>
                <w:color w:val="000000"/>
                <w:szCs w:val="24"/>
              </w:rPr>
            </w:pPr>
          </w:p>
        </w:tc>
        <w:tc>
          <w:tcPr>
            <w:tcW w:w="306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hint="eastAsia" w:ascii="楷体" w:hAnsi="楷体" w:eastAsia="楷体"/>
                <w:color w:val="000000"/>
                <w:szCs w:val="24"/>
              </w:rPr>
            </w:pPr>
            <w:r>
              <w:rPr>
                <w:rFonts w:ascii="楷体" w:hAnsi="楷体" w:eastAsia="楷体"/>
                <w:color w:val="000000"/>
                <w:szCs w:val="24"/>
              </w:rPr>
              <w:t>创新建议采纳率</w:t>
            </w:r>
          </w:p>
        </w:tc>
        <w:tc>
          <w:tcPr>
            <w:tcW w:w="6300" w:type="dxa"/>
            <w:noWrap w:val="0"/>
            <w:vAlign w:val="top"/>
          </w:tcPr>
          <w:p>
            <w:pPr>
              <w:jc w:val="both"/>
              <w:rPr>
                <w:rFonts w:hint="eastAsia" w:ascii="楷体" w:hAnsi="楷体" w:eastAsia="楷体"/>
                <w:color w:val="000000"/>
                <w:szCs w:val="24"/>
              </w:rPr>
            </w:pPr>
            <w:r>
              <w:rPr>
                <w:rFonts w:ascii="楷体" w:hAnsi="楷体" w:eastAsia="楷体"/>
                <w:color w:val="000000"/>
                <w:szCs w:val="24"/>
              </w:rPr>
              <w:t>（被采纳的创新建议数量/部门建议总数量）*100%</w:t>
            </w:r>
          </w:p>
        </w:tc>
        <w:tc>
          <w:tcPr>
            <w:tcW w:w="3066" w:type="dxa"/>
            <w:noWrap w:val="0"/>
            <w:vAlign w:val="top"/>
          </w:tcPr>
          <w:p>
            <w:pPr>
              <w:jc w:val="both"/>
              <w:rPr>
                <w:rFonts w:hint="eastAsia" w:ascii="楷体" w:hAnsi="楷体" w:eastAsia="楷体"/>
                <w:color w:val="000000"/>
                <w:szCs w:val="24"/>
              </w:rPr>
            </w:pPr>
            <w:r>
              <w:rPr>
                <w:rFonts w:ascii="楷体" w:hAnsi="楷体" w:eastAsia="楷体"/>
                <w:color w:val="000000"/>
                <w:szCs w:val="24"/>
              </w:rPr>
              <w:t>创新建议采纳记录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ascii="楷体" w:hAnsi="楷体" w:eastAsia="楷体"/>
                <w:color w:val="000000"/>
                <w:szCs w:val="24"/>
              </w:rPr>
              <w:t>新技术掌握运用程度</w:t>
            </w:r>
          </w:p>
        </w:tc>
        <w:tc>
          <w:tcPr>
            <w:tcW w:w="6300" w:type="dxa"/>
            <w:noWrap w:val="0"/>
            <w:vAlign w:val="top"/>
          </w:tcPr>
          <w:p>
            <w:pPr>
              <w:jc w:val="both"/>
              <w:rPr>
                <w:rFonts w:ascii="楷体" w:hAnsi="楷体" w:eastAsia="楷体"/>
                <w:color w:val="000000"/>
                <w:szCs w:val="24"/>
              </w:rPr>
            </w:pPr>
          </w:p>
        </w:tc>
        <w:tc>
          <w:tcPr>
            <w:tcW w:w="3066" w:type="dxa"/>
            <w:noWrap w:val="0"/>
            <w:vAlign w:val="top"/>
          </w:tcPr>
          <w:p>
            <w:pPr>
              <w:jc w:val="both"/>
              <w:rPr>
                <w:rFonts w:ascii="楷体" w:hAnsi="楷体" w:eastAsia="楷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ascii="楷体" w:hAnsi="楷体" w:eastAsia="楷体"/>
                <w:color w:val="000000"/>
                <w:szCs w:val="24"/>
              </w:rPr>
              <w:t>培训种类</w:t>
            </w:r>
          </w:p>
        </w:tc>
        <w:tc>
          <w:tcPr>
            <w:tcW w:w="6300" w:type="dxa"/>
            <w:noWrap w:val="0"/>
            <w:vAlign w:val="top"/>
          </w:tcPr>
          <w:p>
            <w:pPr>
              <w:jc w:val="both"/>
              <w:rPr>
                <w:rFonts w:ascii="楷体" w:hAnsi="楷体" w:eastAsia="楷体"/>
                <w:color w:val="000000"/>
                <w:szCs w:val="24"/>
              </w:rPr>
            </w:pPr>
            <w:r>
              <w:rPr>
                <w:rFonts w:ascii="楷体" w:hAnsi="楷体" w:eastAsia="楷体"/>
                <w:color w:val="000000"/>
                <w:szCs w:val="24"/>
              </w:rPr>
              <w:t>培训种类总计</w:t>
            </w:r>
          </w:p>
        </w:tc>
        <w:tc>
          <w:tcPr>
            <w:tcW w:w="3066" w:type="dxa"/>
            <w:noWrap w:val="0"/>
            <w:vAlign w:val="top"/>
          </w:tcPr>
          <w:p>
            <w:pPr>
              <w:jc w:val="both"/>
              <w:rPr>
                <w:rFonts w:ascii="楷体" w:hAnsi="楷体" w:eastAsia="楷体"/>
                <w:color w:val="000000"/>
                <w:szCs w:val="24"/>
              </w:rPr>
            </w:pPr>
            <w:r>
              <w:rPr>
                <w:rFonts w:ascii="楷体" w:hAnsi="楷体" w:eastAsia="楷体"/>
                <w:color w:val="000000"/>
                <w:szCs w:val="24"/>
              </w:rPr>
              <w:t>培训种类记录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员工培训与激励满意度（包括培训计划完成率、员工激励等）</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下属员工用满意度调查表评分</w:t>
            </w:r>
          </w:p>
        </w:tc>
        <w:tc>
          <w:tcPr>
            <w:tcW w:w="306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研究开发部员工满意度</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满意度调查问卷评估</w:t>
            </w:r>
          </w:p>
        </w:tc>
        <w:tc>
          <w:tcPr>
            <w:tcW w:w="306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研究项目创新及项目规划、组织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(中心总经理评估标准)</w:t>
            </w:r>
          </w:p>
        </w:tc>
        <w:tc>
          <w:tcPr>
            <w:tcW w:w="3066" w:type="dxa"/>
            <w:noWrap w:val="0"/>
            <w:vAlign w:val="top"/>
          </w:tcPr>
          <w:p>
            <w:pPr>
              <w:jc w:val="both"/>
              <w:rPr>
                <w:rFonts w:ascii="楷体" w:hAnsi="楷体" w:eastAsia="楷体"/>
                <w:color w:val="000000"/>
                <w:szCs w:val="24"/>
              </w:rPr>
            </w:pPr>
            <w:r>
              <w:rPr>
                <w:rFonts w:hint="eastAsia" w:ascii="楷体" w:hAnsi="楷体" w:eastAsia="楷体"/>
                <w:color w:val="000000"/>
                <w:szCs w:val="24"/>
              </w:rPr>
              <w:t>中心综合管理部组织评估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培训与研讨参与率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(实际参加培训与研讨的员工数/规定应参加培训与研讨的总人数)*100%</w:t>
            </w:r>
          </w:p>
        </w:tc>
        <w:tc>
          <w:tcPr>
            <w:tcW w:w="306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培训研讨出勤记录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培训参与率</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(实际参加培训的员工数/规定应参加培训的总人数)*100%</w:t>
            </w:r>
          </w:p>
        </w:tc>
        <w:tc>
          <w:tcPr>
            <w:tcW w:w="3066" w:type="dxa"/>
            <w:noWrap w:val="0"/>
            <w:vAlign w:val="top"/>
          </w:tcPr>
          <w:p>
            <w:pPr>
              <w:jc w:val="both"/>
              <w:rPr>
                <w:rFonts w:hint="eastAsia" w:ascii="楷体" w:hAnsi="楷体" w:eastAsia="楷体"/>
                <w:color w:val="000000"/>
                <w:szCs w:val="24"/>
              </w:rPr>
            </w:pPr>
            <w:r>
              <w:rPr>
                <w:rFonts w:hint="eastAsia" w:ascii="楷体" w:hAnsi="楷体" w:eastAsia="楷体"/>
                <w:color w:val="000000"/>
                <w:szCs w:val="24"/>
              </w:rPr>
              <w:t>培训出勤记录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068" w:type="dxa"/>
            <w:noWrap w:val="0"/>
            <w:vAlign w:val="top"/>
          </w:tcPr>
          <w:p>
            <w:pPr>
              <w:jc w:val="both"/>
              <w:rPr>
                <w:rFonts w:ascii="楷体" w:hAnsi="楷体" w:eastAsia="楷体"/>
                <w:color w:val="000000"/>
                <w:szCs w:val="24"/>
              </w:rPr>
            </w:pPr>
            <w:r>
              <w:rPr>
                <w:rFonts w:hint="eastAsia" w:ascii="楷体" w:hAnsi="楷体" w:eastAsia="楷体"/>
                <w:color w:val="000000"/>
                <w:szCs w:val="24"/>
              </w:rPr>
              <w:t>内部员工满意度</w:t>
            </w:r>
          </w:p>
        </w:tc>
        <w:tc>
          <w:tcPr>
            <w:tcW w:w="6300"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(综合管理部经理评估标准)</w:t>
            </w:r>
          </w:p>
        </w:tc>
        <w:tc>
          <w:tcPr>
            <w:tcW w:w="3066" w:type="dxa"/>
            <w:noWrap w:val="0"/>
            <w:vAlign w:val="top"/>
          </w:tcPr>
          <w:p>
            <w:pPr>
              <w:jc w:val="both"/>
              <w:rPr>
                <w:rFonts w:ascii="楷体" w:hAnsi="楷体" w:eastAsia="楷体"/>
                <w:color w:val="000000"/>
                <w:szCs w:val="24"/>
              </w:rPr>
            </w:pPr>
            <w:r>
              <w:rPr>
                <w:rFonts w:hint="eastAsia" w:ascii="楷体" w:hAnsi="楷体" w:eastAsia="楷体"/>
                <w:color w:val="000000"/>
                <w:szCs w:val="24"/>
              </w:rPr>
              <w:t>综合管理部组织评估工作</w:t>
            </w:r>
          </w:p>
        </w:tc>
      </w:tr>
    </w:tbl>
    <w:p>
      <w:pPr>
        <w:pStyle w:val="5"/>
        <w:tabs>
          <w:tab w:val="clear" w:pos="4320"/>
          <w:tab w:val="clear" w:pos="8640"/>
        </w:tabs>
        <w:ind w:firstLine="480" w:firstLineChars="200"/>
        <w:jc w:val="both"/>
        <w:rPr>
          <w:rFonts w:hint="eastAsia" w:ascii="楷体" w:hAnsi="楷体" w:eastAsia="楷体"/>
          <w:color w:val="000000"/>
          <w:szCs w:val="24"/>
        </w:rPr>
      </w:pPr>
    </w:p>
    <w:sectPr>
      <w:footerReference r:id="rId3" w:type="even"/>
      <w:pgSz w:w="15840" w:h="12240" w:orient="landscape"/>
      <w:pgMar w:top="850" w:right="1474" w:bottom="850" w:left="1474" w:header="57" w:footer="5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Palatino">
    <w:panose1 w:val="00000000000000000000"/>
    <w:charset w:val="00"/>
    <w:family w:val="roman"/>
    <w:pitch w:val="default"/>
    <w:sig w:usb0="A00002FF" w:usb1="7800205A" w:usb2="14600000" w:usb3="00000000" w:csb0="20000193" w:csb1="4D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720"/>
  <w:hyphenationZone w:val="360"/>
  <w:drawingGridHorizontalSpacing w:val="120"/>
  <w:displayHorizontalDrawingGridEvery w:val="0"/>
  <w:displayVerticalDrawingGridEvery w:val="0"/>
  <w:noPunctuationKerning w:val="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E8"/>
    <w:rsid w:val="003E3EE8"/>
    <w:rsid w:val="004C6542"/>
    <w:rsid w:val="00B02179"/>
    <w:rsid w:val="00DC7E3B"/>
    <w:rsid w:val="02AC7C79"/>
    <w:rsid w:val="637F7FDB"/>
    <w:rsid w:val="70EE1D7E"/>
    <w:rsid w:val="EE7F52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1624"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723"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paragraph" w:styleId="2">
    <w:name w:val="heading 1"/>
    <w:basedOn w:val="1"/>
    <w:next w:val="1"/>
    <w:qFormat/>
    <w:uiPriority w:val="2"/>
    <w:pPr>
      <w:keepNext/>
      <w:outlineLvl w:val="0"/>
    </w:pPr>
    <w:rPr>
      <w:rFonts w:ascii="Arial" w:hAnsi="Arial"/>
      <w:b/>
      <w:sz w:val="32"/>
    </w:rPr>
  </w:style>
  <w:style w:type="character" w:default="1" w:styleId="6">
    <w:name w:val="Default Paragraph Font"/>
    <w:uiPriority w:val="1723"/>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1624"/>
    <w:pPr>
      <w:spacing w:after="180"/>
    </w:pPr>
    <w:rPr>
      <w:rFonts w:ascii="Palatino" w:hAnsi="Palatino"/>
      <w:sz w:val="20"/>
    </w:rPr>
  </w:style>
  <w:style w:type="paragraph" w:styleId="4">
    <w:name w:val="footer"/>
    <w:basedOn w:val="1"/>
    <w:qFormat/>
    <w:uiPriority w:val="0"/>
    <w:pPr>
      <w:tabs>
        <w:tab w:val="center" w:pos="4320"/>
        <w:tab w:val="right" w:pos="8640"/>
      </w:tabs>
    </w:pPr>
  </w:style>
  <w:style w:type="paragraph" w:styleId="5">
    <w:name w:val="header"/>
    <w:basedOn w:val="1"/>
    <w:qFormat/>
    <w:uiPriority w:val="0"/>
    <w:pPr>
      <w:tabs>
        <w:tab w:val="center" w:pos="4320"/>
        <w:tab w:val="right" w:pos="8640"/>
      </w:tabs>
    </w:pPr>
  </w:style>
  <w:style w:type="character" w:styleId="7">
    <w:name w:val="page number"/>
    <w:basedOn w:val="6"/>
    <w:qFormat/>
    <w:uiPriority w:val="0"/>
  </w:style>
  <w:style w:type="paragraph" w:customStyle="1" w:styleId="9">
    <w:name w:val="Paragraph"/>
    <w:basedOn w:val="1"/>
    <w:qFormat/>
    <w:uiPriority w:val="7"/>
    <w:pPr>
      <w:spacing w:after="240"/>
      <w:jc w:val="both"/>
    </w:pPr>
  </w:style>
  <w:style w:type="paragraph" w:customStyle="1" w:styleId="10">
    <w:name w:val="30 document title"/>
    <w:basedOn w:val="1"/>
    <w:next w:val="1"/>
    <w:qFormat/>
    <w:uiPriority w:val="2"/>
    <w:pPr>
      <w:spacing w:before="720" w:after="360"/>
      <w:ind w:right="1080"/>
      <w:outlineLvl w:val="0"/>
    </w:pPr>
    <w:rPr>
      <w:rFonts w:ascii="Palatino" w:hAnsi="Palatino"/>
      <w:sz w:val="40"/>
    </w:rPr>
  </w:style>
  <w:style w:type="paragraph" w:customStyle="1" w:styleId="11">
    <w:name w:val="40 address"/>
    <w:basedOn w:val="1"/>
    <w:uiPriority w:val="2"/>
    <w:pPr>
      <w:spacing w:after="180"/>
    </w:pPr>
    <w:rPr>
      <w:rFonts w:ascii="Palatino" w:hAnsi="Palatin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Watson Wyatt</Company>
  <Pages>13</Pages>
  <Words>1309</Words>
  <Characters>7465</Characters>
  <Lines>62</Lines>
  <Paragraphs>17</Paragraphs>
  <ScaleCrop>false</ScaleCrop>
  <LinksUpToDate>false</LinksUpToDate>
  <CharactersWithSpaces>8757</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2019-04-10T08:51:00Z</dcterms:created>
  <dc:creator>Brad Carter</dc:creator>
  <cp:lastModifiedBy>dae</cp:lastModifiedBy>
  <cp:lastPrinted>2001-11-02T16:22:00Z</cp:lastPrinted>
  <dcterms:modified xsi:type="dcterms:W3CDTF">2022-03-03T12:53:07Z</dcterms:modified>
  <dc:title>Customer Service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