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hint="eastAsia" w:ascii="楷体" w:hAnsi="楷体" w:eastAsia="楷体" w:cs="楷体"/>
        </w:rPr>
      </w:pPr>
    </w:p>
    <w:p>
      <w:pPr>
        <w:spacing w:line="520" w:lineRule="exact"/>
        <w:jc w:val="center"/>
        <w:rPr>
          <w:rFonts w:hint="eastAsia" w:ascii="楷体" w:hAnsi="楷体" w:eastAsia="楷体" w:cs="楷体"/>
          <w:b/>
          <w:sz w:val="48"/>
        </w:rPr>
      </w:pPr>
    </w:p>
    <w:p>
      <w:pPr>
        <w:spacing w:line="520" w:lineRule="exact"/>
        <w:jc w:val="center"/>
        <w:rPr>
          <w:rFonts w:hint="eastAsia" w:ascii="楷体" w:hAnsi="楷体" w:eastAsia="楷体" w:cs="楷体"/>
          <w:b/>
          <w:sz w:val="48"/>
        </w:rPr>
      </w:pPr>
    </w:p>
    <w:p>
      <w:pPr>
        <w:spacing w:line="520" w:lineRule="exact"/>
        <w:jc w:val="center"/>
        <w:rPr>
          <w:rFonts w:hint="eastAsia" w:ascii="楷体" w:hAnsi="楷体" w:eastAsia="楷体" w:cs="楷体"/>
          <w:b/>
          <w:sz w:val="48"/>
        </w:rPr>
      </w:pPr>
    </w:p>
    <w:p>
      <w:pPr>
        <w:spacing w:line="520" w:lineRule="exact"/>
        <w:jc w:val="center"/>
        <w:rPr>
          <w:rFonts w:hint="eastAsia" w:ascii="楷体" w:hAnsi="楷体" w:eastAsia="楷体" w:cs="楷体"/>
          <w:b/>
          <w:sz w:val="48"/>
        </w:rPr>
      </w:pPr>
    </w:p>
    <w:p>
      <w:pPr>
        <w:spacing w:line="520" w:lineRule="exact"/>
        <w:jc w:val="center"/>
        <w:rPr>
          <w:rFonts w:hint="eastAsia" w:ascii="楷体" w:hAnsi="楷体" w:eastAsia="楷体" w:cs="楷体"/>
          <w:b/>
          <w:sz w:val="48"/>
        </w:rPr>
      </w:pPr>
      <w:bookmarkStart w:id="0" w:name="_GoBack"/>
      <w:r>
        <w:rPr>
          <w:rFonts w:hint="eastAsia" w:ascii="楷体" w:hAnsi="楷体" w:eastAsia="楷体" w:cs="楷体"/>
          <w:b/>
          <w:sz w:val="48"/>
        </w:rPr>
        <w:t>全面预算管理制度</w:t>
      </w:r>
      <w:bookmarkEnd w:id="0"/>
    </w:p>
    <w:p>
      <w:pPr>
        <w:spacing w:line="520" w:lineRule="exact"/>
        <w:jc w:val="center"/>
        <w:rPr>
          <w:rFonts w:hint="eastAsia" w:ascii="楷体" w:hAnsi="楷体" w:eastAsia="楷体" w:cs="楷体"/>
          <w:b/>
          <w:sz w:val="32"/>
        </w:rPr>
      </w:pPr>
      <w:r>
        <w:rPr>
          <w:rFonts w:hint="eastAsia" w:ascii="楷体" w:hAnsi="楷体" w:eastAsia="楷体" w:cs="楷体"/>
          <w:b/>
          <w:sz w:val="32"/>
        </w:rPr>
        <w:t xml:space="preserve">Comprehensive budget management system  </w:t>
      </w:r>
    </w:p>
    <w:p>
      <w:pPr>
        <w:pStyle w:val="2"/>
        <w:spacing w:line="520" w:lineRule="exact"/>
        <w:rPr>
          <w:rFonts w:hint="eastAsia" w:ascii="楷体" w:hAnsi="楷体" w:eastAsia="楷体" w:cs="楷体"/>
        </w:rPr>
      </w:pPr>
    </w:p>
    <w:p>
      <w:pPr>
        <w:spacing w:line="520" w:lineRule="exact"/>
        <w:rPr>
          <w:rFonts w:hint="eastAsia" w:ascii="楷体" w:hAnsi="楷体" w:eastAsia="楷体" w:cs="楷体"/>
          <w:sz w:val="28"/>
        </w:rPr>
      </w:pPr>
    </w:p>
    <w:p>
      <w:pPr>
        <w:spacing w:line="520" w:lineRule="exact"/>
        <w:rPr>
          <w:rFonts w:hint="eastAsia" w:ascii="楷体" w:hAnsi="楷体" w:eastAsia="楷体" w:cs="楷体"/>
          <w:sz w:val="28"/>
        </w:rPr>
      </w:pPr>
    </w:p>
    <w:p>
      <w:pPr>
        <w:spacing w:line="520" w:lineRule="exact"/>
        <w:rPr>
          <w:rFonts w:hint="eastAsia" w:ascii="楷体" w:hAnsi="楷体" w:eastAsia="楷体" w:cs="楷体"/>
          <w:sz w:val="28"/>
        </w:rPr>
      </w:pPr>
    </w:p>
    <w:p>
      <w:pPr>
        <w:spacing w:line="520" w:lineRule="exact"/>
        <w:rPr>
          <w:rFonts w:hint="eastAsia" w:ascii="楷体" w:hAnsi="楷体" w:eastAsia="楷体" w:cs="楷体"/>
          <w:sz w:val="28"/>
        </w:rPr>
      </w:pPr>
    </w:p>
    <w:p>
      <w:pPr>
        <w:spacing w:line="520" w:lineRule="exact"/>
        <w:jc w:val="center"/>
        <w:rPr>
          <w:rFonts w:hint="eastAsia" w:ascii="楷体" w:hAnsi="楷体" w:eastAsia="楷体" w:cs="楷体"/>
          <w:b/>
          <w:sz w:val="36"/>
          <w:szCs w:val="36"/>
        </w:rPr>
      </w:pPr>
      <w:r>
        <w:rPr>
          <w:rFonts w:hint="eastAsia" w:ascii="楷体" w:hAnsi="楷体" w:eastAsia="楷体" w:cs="楷体"/>
          <w:b/>
          <w:sz w:val="36"/>
          <w:szCs w:val="36"/>
        </w:rPr>
        <w:t>编制：</w:t>
      </w:r>
    </w:p>
    <w:p>
      <w:pPr>
        <w:spacing w:line="520" w:lineRule="exact"/>
        <w:jc w:val="center"/>
        <w:rPr>
          <w:rFonts w:hint="eastAsia" w:ascii="楷体" w:hAnsi="楷体" w:eastAsia="楷体" w:cs="楷体"/>
          <w:b/>
          <w:sz w:val="36"/>
          <w:szCs w:val="36"/>
        </w:rPr>
      </w:pPr>
      <w:r>
        <w:rPr>
          <w:rFonts w:hint="eastAsia" w:ascii="楷体" w:hAnsi="楷体" w:eastAsia="楷体" w:cs="楷体"/>
          <w:b/>
          <w:sz w:val="36"/>
          <w:szCs w:val="36"/>
        </w:rPr>
        <w:t>审批：</w:t>
      </w:r>
    </w:p>
    <w:p>
      <w:pPr>
        <w:spacing w:line="520" w:lineRule="exact"/>
        <w:ind w:firstLine="4129" w:firstLineChars="1147"/>
        <w:rPr>
          <w:rFonts w:hint="eastAsia" w:ascii="楷体" w:hAnsi="楷体" w:eastAsia="楷体" w:cs="楷体"/>
          <w:b/>
          <w:sz w:val="48"/>
        </w:rPr>
      </w:pPr>
      <w:r>
        <w:rPr>
          <w:rFonts w:hint="eastAsia" w:ascii="楷体" w:hAnsi="楷体" w:eastAsia="楷体" w:cs="楷体"/>
          <w:b/>
          <w:sz w:val="36"/>
          <w:szCs w:val="36"/>
        </w:rPr>
        <w:t>批准</w:t>
      </w:r>
    </w:p>
    <w:p>
      <w:pPr>
        <w:spacing w:line="520" w:lineRule="exact"/>
        <w:rPr>
          <w:rFonts w:hint="eastAsia" w:ascii="楷体" w:hAnsi="楷体" w:eastAsia="楷体" w:cs="楷体"/>
          <w:b/>
          <w:sz w:val="48"/>
        </w:rPr>
      </w:pPr>
    </w:p>
    <w:p>
      <w:pPr>
        <w:spacing w:line="520" w:lineRule="exact"/>
        <w:jc w:val="center"/>
        <w:rPr>
          <w:rFonts w:hint="eastAsia" w:ascii="楷体" w:hAnsi="楷体" w:eastAsia="楷体" w:cs="楷体"/>
          <w:b/>
          <w:sz w:val="48"/>
        </w:rPr>
      </w:pPr>
    </w:p>
    <w:p>
      <w:pPr>
        <w:spacing w:line="520" w:lineRule="exact"/>
        <w:jc w:val="center"/>
        <w:rPr>
          <w:rFonts w:hint="eastAsia" w:ascii="楷体" w:hAnsi="楷体" w:eastAsia="楷体" w:cs="楷体"/>
          <w:b/>
          <w:sz w:val="48"/>
        </w:rPr>
      </w:pPr>
    </w:p>
    <w:p>
      <w:pPr>
        <w:spacing w:line="520" w:lineRule="exact"/>
        <w:rPr>
          <w:rFonts w:hint="eastAsia" w:ascii="楷体" w:hAnsi="楷体" w:eastAsia="楷体" w:cs="楷体"/>
          <w:b/>
          <w:sz w:val="48"/>
        </w:rPr>
      </w:pP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r>
        <w:rPr>
          <w:rFonts w:hint="eastAsia" w:ascii="楷体" w:hAnsi="楷体" w:eastAsia="楷体" w:cs="楷体"/>
          <w:sz w:val="28"/>
          <w:szCs w:val="28"/>
        </w:rPr>
        <w:t xml:space="preserve">  年 月发布                           年  月实施</w:t>
      </w:r>
    </w:p>
    <w:p>
      <w:pPr>
        <w:jc w:val="center"/>
        <w:rPr>
          <w:rFonts w:hint="eastAsia" w:ascii="楷体" w:hAnsi="楷体" w:eastAsia="楷体" w:cs="楷体"/>
          <w:b/>
          <w:bCs/>
          <w:sz w:val="28"/>
          <w:szCs w:val="28"/>
        </w:rPr>
      </w:pPr>
      <w:r>
        <w:rPr>
          <w:rFonts w:hint="eastAsia" w:ascii="楷体" w:hAnsi="楷体" w:eastAsia="楷体" w:cs="楷体"/>
        </w:rPr>
        <mc:AlternateContent>
          <mc:Choice Requires="wps">
            <w:drawing>
              <wp:anchor distT="0" distB="0" distL="114300" distR="114300" simplePos="0" relativeHeight="251658240" behindDoc="0" locked="0" layoutInCell="1" allowOverlap="1">
                <wp:simplePos x="0" y="0"/>
                <wp:positionH relativeFrom="column">
                  <wp:posOffset>139065</wp:posOffset>
                </wp:positionH>
                <wp:positionV relativeFrom="paragraph">
                  <wp:posOffset>7620</wp:posOffset>
                </wp:positionV>
                <wp:extent cx="5918835" cy="1270"/>
                <wp:effectExtent l="0" t="0" r="0" b="0"/>
                <wp:wrapNone/>
                <wp:docPr id="1" name="未知"/>
                <wp:cNvGraphicFramePr/>
                <a:graphic xmlns:a="http://schemas.openxmlformats.org/drawingml/2006/main">
                  <a:graphicData uri="http://schemas.microsoft.com/office/word/2010/wordprocessingShape">
                    <wps:wsp>
                      <wps:cNvSpPr/>
                      <wps:spPr>
                        <a:xfrm>
                          <a:off x="0" y="0"/>
                          <a:ext cx="5918835" cy="1270"/>
                        </a:xfrm>
                        <a:custGeom>
                          <a:avLst/>
                          <a:gdLst/>
                          <a:ahLst/>
                          <a:cxnLst/>
                          <a:pathLst>
                            <a:path w="9321" h="2">
                              <a:moveTo>
                                <a:pt x="0" y="2"/>
                              </a:moveTo>
                              <a:lnTo>
                                <a:pt x="9321" y="0"/>
                              </a:lnTo>
                            </a:path>
                          </a:pathLst>
                        </a:custGeom>
                        <a:noFill/>
                        <a:ln w="19050" cap="flat" cmpd="sng">
                          <a:solidFill>
                            <a:srgbClr val="000000"/>
                          </a:solidFill>
                          <a:prstDash val="solid"/>
                          <a:headEnd type="none" w="med" len="med"/>
                          <a:tailEnd type="none" w="med" len="med"/>
                        </a:ln>
                      </wps:spPr>
                      <wps:bodyPr upright="1"/>
                    </wps:wsp>
                  </a:graphicData>
                </a:graphic>
              </wp:anchor>
            </w:drawing>
          </mc:Choice>
          <mc:Fallback>
            <w:pict>
              <v:shape id="未知" o:spid="_x0000_s1026" o:spt="100" style="position:absolute;left:0pt;margin-left:10.95pt;margin-top:0.6pt;height:0.1pt;width:466.05pt;z-index:251658240;mso-width-relative:page;mso-height-relative:page;" filled="f" stroked="t" coordsize="9321,2" o:gfxdata="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KDU8v1gAAAAYB&#10;AAAPAAAAAAAAAAEAIAAAADgAAABkcnMvZG93bnJldi54bWxQSwECFAAUAAAACACHTuJA+pr8KQcC&#10;AAAzBAAADgAAAAAAAAABACAAAAA7AQAAZHJzL2Uyb0RvYy54bWxQSwUGAAAAAAYABgBZAQAAtAUA&#10;AAAA&#10;" path="m0,2l9321,0e">
                <v:fill on="f" focussize="0,0"/>
                <v:stroke weight="1.5pt" color="#000000" joinstyle="round"/>
                <v:imagedata o:title=""/>
                <o:lock v:ext="edit" aspectratio="f"/>
              </v:shape>
            </w:pict>
          </mc:Fallback>
        </mc:AlternateContent>
      </w:r>
      <w:r>
        <w:rPr>
          <w:rFonts w:hint="eastAsia" w:ascii="楷体" w:hAnsi="楷体" w:eastAsia="楷体" w:cs="楷体"/>
          <w:b/>
          <w:bCs/>
          <w:sz w:val="28"/>
          <w:szCs w:val="28"/>
          <w:lang w:eastAsia="zh-CN"/>
        </w:rPr>
        <w:t>XX</w:t>
      </w:r>
      <w:r>
        <w:rPr>
          <w:rFonts w:hint="eastAsia" w:ascii="楷体" w:hAnsi="楷体" w:eastAsia="楷体" w:cs="楷体"/>
          <w:b/>
          <w:bCs/>
          <w:sz w:val="28"/>
          <w:szCs w:val="28"/>
        </w:rPr>
        <w:t>新能源科技股份有限公司</w:t>
      </w:r>
    </w:p>
    <w:p>
      <w:pPr>
        <w:rPr>
          <w:rFonts w:hint="eastAsia" w:ascii="楷体" w:hAnsi="楷体" w:eastAsia="楷体" w:cs="楷体"/>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1134" w:footer="567" w:gutter="0"/>
          <w:cols w:space="720" w:num="1"/>
          <w:titlePg/>
          <w:docGrid w:type="linesAndChars" w:linePitch="312" w:charSpace="0"/>
        </w:sectPr>
      </w:pPr>
    </w:p>
    <w:p>
      <w:pPr>
        <w:tabs>
          <w:tab w:val="left" w:pos="3150"/>
        </w:tabs>
        <w:rPr>
          <w:rFonts w:hint="eastAsia" w:ascii="楷体" w:hAnsi="楷体" w:eastAsia="楷体" w:cs="楷体"/>
          <w:sz w:val="28"/>
        </w:rPr>
      </w:pPr>
      <w:r>
        <w:rPr>
          <w:rFonts w:hint="eastAsia" w:ascii="楷体" w:hAnsi="楷体" w:eastAsia="楷体" w:cs="楷体"/>
          <w:b/>
          <w:bCs/>
          <w:sz w:val="28"/>
          <w:szCs w:val="28"/>
        </w:rPr>
        <w:tab/>
      </w:r>
      <w:r>
        <w:rPr>
          <w:rFonts w:hint="eastAsia" w:ascii="楷体" w:hAnsi="楷体" w:eastAsia="楷体" w:cs="楷体"/>
          <w:sz w:val="28"/>
        </w:rPr>
        <w:tab/>
      </w:r>
      <w:r>
        <w:rPr>
          <w:rFonts w:hint="eastAsia" w:ascii="楷体" w:hAnsi="楷体" w:eastAsia="楷体" w:cs="楷体"/>
          <w:sz w:val="28"/>
        </w:rPr>
        <w:tab/>
      </w:r>
    </w:p>
    <w:tbl>
      <w:tblPr>
        <w:tblStyle w:val="8"/>
        <w:tblpPr w:leftFromText="180" w:rightFromText="180" w:vertAnchor="text" w:horzAnchor="margin" w:tblpY="1822"/>
        <w:tblW w:w="999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8"/>
        <w:gridCol w:w="1980"/>
        <w:gridCol w:w="1440"/>
        <w:gridCol w:w="1279"/>
        <w:gridCol w:w="1427"/>
        <w:gridCol w:w="1427"/>
        <w:gridCol w:w="14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13" w:hRule="atLeast"/>
        </w:trPr>
        <w:tc>
          <w:tcPr>
            <w:tcW w:w="9991" w:type="dxa"/>
            <w:gridSpan w:val="7"/>
            <w:tcBorders>
              <w:top w:val="single" w:color="auto" w:sz="12" w:space="0"/>
              <w:left w:val="single" w:color="auto" w:sz="12" w:space="0"/>
              <w:bottom w:val="single" w:color="auto" w:sz="12" w:space="0"/>
              <w:right w:val="single" w:color="auto" w:sz="12" w:space="0"/>
            </w:tcBorders>
            <w:noWrap w:val="0"/>
            <w:vAlign w:val="top"/>
          </w:tcPr>
          <w:p>
            <w:pPr>
              <w:spacing w:line="520" w:lineRule="exact"/>
              <w:jc w:val="center"/>
              <w:rPr>
                <w:rFonts w:hint="eastAsia" w:ascii="楷体" w:hAnsi="楷体" w:eastAsia="楷体" w:cs="楷体"/>
                <w:b/>
                <w:sz w:val="28"/>
              </w:rPr>
            </w:pPr>
            <w:r>
              <w:rPr>
                <w:rFonts w:hint="eastAsia" w:ascii="楷体" w:hAnsi="楷体" w:eastAsia="楷体" w:cs="楷体"/>
                <w:b/>
                <w:sz w:val="28"/>
              </w:rPr>
              <w:t>文 件 更 新 一 览 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9" w:hRule="atLeast"/>
        </w:trPr>
        <w:tc>
          <w:tcPr>
            <w:tcW w:w="1008" w:type="dxa"/>
            <w:tcBorders>
              <w:top w:val="single" w:color="auto" w:sz="12" w:space="0"/>
              <w:left w:val="single" w:color="auto" w:sz="12" w:space="0"/>
              <w:bottom w:val="single" w:color="auto" w:sz="6" w:space="0"/>
              <w:right w:val="single" w:color="auto" w:sz="6" w:space="0"/>
            </w:tcBorders>
            <w:noWrap w:val="0"/>
            <w:vAlign w:val="top"/>
          </w:tcPr>
          <w:p>
            <w:pPr>
              <w:spacing w:line="400" w:lineRule="exact"/>
              <w:ind w:firstLine="105" w:firstLineChars="50"/>
              <w:jc w:val="center"/>
              <w:rPr>
                <w:rFonts w:hint="eastAsia" w:ascii="楷体" w:hAnsi="楷体" w:eastAsia="楷体" w:cs="楷体"/>
                <w:szCs w:val="21"/>
              </w:rPr>
            </w:pPr>
            <w:r>
              <w:rPr>
                <w:rFonts w:hint="eastAsia" w:ascii="楷体" w:hAnsi="楷体" w:eastAsia="楷体" w:cs="楷体"/>
                <w:szCs w:val="21"/>
              </w:rPr>
              <w:t>版本</w:t>
            </w:r>
          </w:p>
        </w:tc>
        <w:tc>
          <w:tcPr>
            <w:tcW w:w="1980" w:type="dxa"/>
            <w:tcBorders>
              <w:top w:val="single" w:color="auto" w:sz="12" w:space="0"/>
              <w:left w:val="single" w:color="auto" w:sz="6" w:space="0"/>
              <w:bottom w:val="single" w:color="auto" w:sz="6" w:space="0"/>
              <w:right w:val="single" w:color="auto" w:sz="6" w:space="0"/>
            </w:tcBorders>
            <w:noWrap w:val="0"/>
            <w:vAlign w:val="top"/>
          </w:tcPr>
          <w:p>
            <w:pPr>
              <w:spacing w:line="400" w:lineRule="exact"/>
              <w:jc w:val="center"/>
              <w:rPr>
                <w:rFonts w:hint="eastAsia" w:ascii="楷体" w:hAnsi="楷体" w:eastAsia="楷体" w:cs="楷体"/>
                <w:szCs w:val="21"/>
              </w:rPr>
            </w:pPr>
            <w:r>
              <w:rPr>
                <w:rFonts w:hint="eastAsia" w:ascii="楷体" w:hAnsi="楷体" w:eastAsia="楷体" w:cs="楷体"/>
                <w:szCs w:val="21"/>
              </w:rPr>
              <w:t>更改原因</w:t>
            </w:r>
          </w:p>
        </w:tc>
        <w:tc>
          <w:tcPr>
            <w:tcW w:w="1440" w:type="dxa"/>
            <w:tcBorders>
              <w:top w:val="single" w:color="auto" w:sz="12" w:space="0"/>
              <w:left w:val="single" w:color="auto" w:sz="6" w:space="0"/>
              <w:bottom w:val="single" w:color="auto" w:sz="6" w:space="0"/>
              <w:right w:val="single" w:color="auto" w:sz="6" w:space="0"/>
            </w:tcBorders>
            <w:noWrap w:val="0"/>
            <w:vAlign w:val="top"/>
          </w:tcPr>
          <w:p>
            <w:pPr>
              <w:spacing w:line="400" w:lineRule="exact"/>
              <w:jc w:val="center"/>
              <w:rPr>
                <w:rFonts w:hint="eastAsia" w:ascii="楷体" w:hAnsi="楷体" w:eastAsia="楷体" w:cs="楷体"/>
                <w:szCs w:val="21"/>
              </w:rPr>
            </w:pPr>
            <w:r>
              <w:rPr>
                <w:rFonts w:hint="eastAsia" w:ascii="楷体" w:hAnsi="楷体" w:eastAsia="楷体" w:cs="楷体"/>
                <w:szCs w:val="21"/>
              </w:rPr>
              <w:t>更改页码</w:t>
            </w:r>
          </w:p>
        </w:tc>
        <w:tc>
          <w:tcPr>
            <w:tcW w:w="1279" w:type="dxa"/>
            <w:tcBorders>
              <w:top w:val="single" w:color="auto" w:sz="12" w:space="0"/>
              <w:left w:val="single" w:color="auto" w:sz="6" w:space="0"/>
              <w:bottom w:val="single" w:color="auto" w:sz="6" w:space="0"/>
              <w:right w:val="single" w:color="auto" w:sz="6" w:space="0"/>
            </w:tcBorders>
            <w:noWrap w:val="0"/>
            <w:vAlign w:val="top"/>
          </w:tcPr>
          <w:p>
            <w:pPr>
              <w:spacing w:line="400" w:lineRule="exact"/>
              <w:jc w:val="center"/>
              <w:rPr>
                <w:rFonts w:hint="eastAsia" w:ascii="楷体" w:hAnsi="楷体" w:eastAsia="楷体" w:cs="楷体"/>
                <w:szCs w:val="21"/>
              </w:rPr>
            </w:pPr>
            <w:r>
              <w:rPr>
                <w:rFonts w:hint="eastAsia" w:ascii="楷体" w:hAnsi="楷体" w:eastAsia="楷体" w:cs="楷体"/>
                <w:szCs w:val="21"/>
              </w:rPr>
              <w:t>更改单号</w:t>
            </w:r>
          </w:p>
        </w:tc>
        <w:tc>
          <w:tcPr>
            <w:tcW w:w="1427" w:type="dxa"/>
            <w:tcBorders>
              <w:top w:val="single" w:color="auto" w:sz="12" w:space="0"/>
              <w:left w:val="single" w:color="auto" w:sz="6" w:space="0"/>
              <w:bottom w:val="single" w:color="auto" w:sz="6" w:space="0"/>
              <w:right w:val="single" w:color="auto" w:sz="6" w:space="0"/>
            </w:tcBorders>
            <w:noWrap w:val="0"/>
            <w:vAlign w:val="top"/>
          </w:tcPr>
          <w:p>
            <w:pPr>
              <w:spacing w:line="400" w:lineRule="exact"/>
              <w:jc w:val="center"/>
              <w:rPr>
                <w:rFonts w:hint="eastAsia" w:ascii="楷体" w:hAnsi="楷体" w:eastAsia="楷体" w:cs="楷体"/>
                <w:szCs w:val="21"/>
              </w:rPr>
            </w:pPr>
            <w:r>
              <w:rPr>
                <w:rFonts w:hint="eastAsia" w:ascii="楷体" w:hAnsi="楷体" w:eastAsia="楷体" w:cs="楷体"/>
                <w:szCs w:val="21"/>
              </w:rPr>
              <w:t>实施日期</w:t>
            </w:r>
          </w:p>
        </w:tc>
        <w:tc>
          <w:tcPr>
            <w:tcW w:w="1427" w:type="dxa"/>
            <w:tcBorders>
              <w:top w:val="single" w:color="auto" w:sz="12" w:space="0"/>
              <w:left w:val="single" w:color="auto" w:sz="6" w:space="0"/>
              <w:bottom w:val="single" w:color="auto" w:sz="6" w:space="0"/>
              <w:right w:val="single" w:color="auto" w:sz="6" w:space="0"/>
            </w:tcBorders>
            <w:noWrap w:val="0"/>
            <w:vAlign w:val="top"/>
          </w:tcPr>
          <w:p>
            <w:pPr>
              <w:spacing w:line="400" w:lineRule="exact"/>
              <w:ind w:firstLine="105" w:firstLineChars="50"/>
              <w:jc w:val="center"/>
              <w:rPr>
                <w:rFonts w:hint="eastAsia" w:ascii="楷体" w:hAnsi="楷体" w:eastAsia="楷体" w:cs="楷体"/>
                <w:szCs w:val="21"/>
              </w:rPr>
            </w:pPr>
            <w:r>
              <w:rPr>
                <w:rFonts w:hint="eastAsia" w:ascii="楷体" w:hAnsi="楷体" w:eastAsia="楷体" w:cs="楷体"/>
                <w:szCs w:val="21"/>
              </w:rPr>
              <w:t>修改人</w:t>
            </w:r>
          </w:p>
        </w:tc>
        <w:tc>
          <w:tcPr>
            <w:tcW w:w="1430" w:type="dxa"/>
            <w:tcBorders>
              <w:top w:val="single" w:color="auto" w:sz="12" w:space="0"/>
              <w:left w:val="single" w:color="auto" w:sz="6" w:space="0"/>
              <w:bottom w:val="single" w:color="auto" w:sz="6" w:space="0"/>
              <w:right w:val="single" w:color="auto" w:sz="12" w:space="0"/>
            </w:tcBorders>
            <w:noWrap w:val="0"/>
            <w:vAlign w:val="top"/>
          </w:tcPr>
          <w:p>
            <w:pPr>
              <w:spacing w:line="400" w:lineRule="exact"/>
              <w:ind w:firstLine="105" w:firstLineChars="50"/>
              <w:jc w:val="center"/>
              <w:rPr>
                <w:rFonts w:hint="eastAsia" w:ascii="楷体" w:hAnsi="楷体" w:eastAsia="楷体" w:cs="楷体"/>
                <w:szCs w:val="21"/>
              </w:rPr>
            </w:pPr>
            <w:r>
              <w:rPr>
                <w:rFonts w:hint="eastAsia" w:ascii="楷体" w:hAnsi="楷体" w:eastAsia="楷体" w:cs="楷体"/>
                <w:szCs w:val="21"/>
              </w:rPr>
              <w:t>批准人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38" w:hRule="atLeast"/>
        </w:trPr>
        <w:tc>
          <w:tcPr>
            <w:tcW w:w="1008"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r>
              <w:rPr>
                <w:rFonts w:hint="eastAsia" w:ascii="楷体" w:hAnsi="楷体" w:eastAsia="楷体" w:cs="楷体"/>
                <w:szCs w:val="21"/>
              </w:rPr>
              <w:t>A/0</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315" w:firstLineChars="150"/>
              <w:rPr>
                <w:rFonts w:hint="eastAsia" w:ascii="楷体" w:hAnsi="楷体" w:eastAsia="楷体" w:cs="楷体"/>
                <w:szCs w:val="21"/>
              </w:rPr>
            </w:pPr>
            <w:r>
              <w:rPr>
                <w:rFonts w:hint="eastAsia" w:ascii="楷体" w:hAnsi="楷体" w:eastAsia="楷体" w:cs="楷体"/>
                <w:szCs w:val="21"/>
              </w:rPr>
              <w:t>首版</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r>
              <w:rPr>
                <w:rFonts w:hint="eastAsia" w:ascii="楷体" w:hAnsi="楷体" w:eastAsia="楷体" w:cs="楷体"/>
                <w:szCs w:val="21"/>
              </w:rPr>
              <w:t>/</w:t>
            </w:r>
          </w:p>
        </w:tc>
        <w:tc>
          <w:tcPr>
            <w:tcW w:w="127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r>
              <w:rPr>
                <w:rFonts w:hint="eastAsia" w:ascii="楷体" w:hAnsi="楷体" w:eastAsia="楷体" w:cs="楷体"/>
                <w:szCs w:val="21"/>
              </w:rPr>
              <w:t>/</w:t>
            </w:r>
          </w:p>
        </w:tc>
        <w:tc>
          <w:tcPr>
            <w:tcW w:w="14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430"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rFonts w:hint="eastAsia"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38" w:hRule="atLeast"/>
        </w:trPr>
        <w:tc>
          <w:tcPr>
            <w:tcW w:w="1008"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27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楷体" w:hAnsi="楷体" w:eastAsia="楷体" w:cs="楷体"/>
                <w:szCs w:val="21"/>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楷体" w:hAnsi="楷体" w:eastAsia="楷体" w:cs="楷体"/>
                <w:szCs w:val="21"/>
              </w:rPr>
            </w:pPr>
          </w:p>
        </w:tc>
        <w:tc>
          <w:tcPr>
            <w:tcW w:w="1430"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eastAsia"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38" w:hRule="atLeast"/>
        </w:trPr>
        <w:tc>
          <w:tcPr>
            <w:tcW w:w="1008"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27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楷体" w:hAnsi="楷体" w:eastAsia="楷体" w:cs="楷体"/>
                <w:szCs w:val="21"/>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楷体" w:hAnsi="楷体" w:eastAsia="楷体" w:cs="楷体"/>
                <w:szCs w:val="21"/>
              </w:rPr>
            </w:pPr>
          </w:p>
        </w:tc>
        <w:tc>
          <w:tcPr>
            <w:tcW w:w="1430"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eastAsia"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38" w:hRule="atLeast"/>
        </w:trPr>
        <w:tc>
          <w:tcPr>
            <w:tcW w:w="1008"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27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楷体" w:hAnsi="楷体" w:eastAsia="楷体" w:cs="楷体"/>
                <w:szCs w:val="21"/>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楷体" w:hAnsi="楷体" w:eastAsia="楷体" w:cs="楷体"/>
                <w:szCs w:val="21"/>
              </w:rPr>
            </w:pPr>
          </w:p>
        </w:tc>
        <w:tc>
          <w:tcPr>
            <w:tcW w:w="1430"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eastAsia"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38" w:hRule="atLeast"/>
        </w:trPr>
        <w:tc>
          <w:tcPr>
            <w:tcW w:w="1008"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27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楷体" w:hAnsi="楷体" w:eastAsia="楷体" w:cs="楷体"/>
                <w:szCs w:val="21"/>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楷体" w:hAnsi="楷体" w:eastAsia="楷体" w:cs="楷体"/>
                <w:szCs w:val="21"/>
              </w:rPr>
            </w:pPr>
          </w:p>
        </w:tc>
        <w:tc>
          <w:tcPr>
            <w:tcW w:w="1430"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eastAsia"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38" w:hRule="atLeast"/>
        </w:trPr>
        <w:tc>
          <w:tcPr>
            <w:tcW w:w="1008"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27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楷体" w:hAnsi="楷体" w:eastAsia="楷体" w:cs="楷体"/>
                <w:szCs w:val="21"/>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楷体" w:hAnsi="楷体" w:eastAsia="楷体" w:cs="楷体"/>
                <w:szCs w:val="21"/>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楷体" w:hAnsi="楷体" w:eastAsia="楷体" w:cs="楷体"/>
                <w:szCs w:val="21"/>
              </w:rPr>
            </w:pPr>
          </w:p>
        </w:tc>
        <w:tc>
          <w:tcPr>
            <w:tcW w:w="1430"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eastAsia"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38" w:hRule="atLeast"/>
        </w:trPr>
        <w:tc>
          <w:tcPr>
            <w:tcW w:w="1008" w:type="dxa"/>
            <w:tcBorders>
              <w:top w:val="single" w:color="auto" w:sz="6" w:space="0"/>
              <w:left w:val="single" w:color="auto" w:sz="12"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9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27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27"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27"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30" w:type="dxa"/>
            <w:tcBorders>
              <w:top w:val="single" w:color="auto" w:sz="6" w:space="0"/>
              <w:left w:val="single" w:color="auto" w:sz="6" w:space="0"/>
              <w:bottom w:val="single" w:color="auto" w:sz="6" w:space="0"/>
              <w:right w:val="single" w:color="auto" w:sz="12" w:space="0"/>
            </w:tcBorders>
            <w:noWrap w:val="0"/>
            <w:vAlign w:val="top"/>
          </w:tcPr>
          <w:p>
            <w:pPr>
              <w:spacing w:line="400" w:lineRule="exact"/>
              <w:rPr>
                <w:rFonts w:hint="eastAsia" w:ascii="楷体" w:hAnsi="楷体" w:eastAsia="楷体" w:cs="楷体"/>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38" w:hRule="atLeast"/>
        </w:trPr>
        <w:tc>
          <w:tcPr>
            <w:tcW w:w="1008" w:type="dxa"/>
            <w:tcBorders>
              <w:top w:val="single" w:color="auto" w:sz="6" w:space="0"/>
              <w:left w:val="single" w:color="auto" w:sz="12"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9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27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27"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27"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30" w:type="dxa"/>
            <w:tcBorders>
              <w:top w:val="single" w:color="auto" w:sz="6" w:space="0"/>
              <w:left w:val="single" w:color="auto" w:sz="6" w:space="0"/>
              <w:bottom w:val="single" w:color="auto" w:sz="6" w:space="0"/>
              <w:right w:val="single" w:color="auto" w:sz="12" w:space="0"/>
            </w:tcBorders>
            <w:noWrap w:val="0"/>
            <w:vAlign w:val="top"/>
          </w:tcPr>
          <w:p>
            <w:pPr>
              <w:spacing w:line="400" w:lineRule="exact"/>
              <w:rPr>
                <w:rFonts w:hint="eastAsia" w:ascii="楷体" w:hAnsi="楷体" w:eastAsia="楷体" w:cs="楷体"/>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38" w:hRule="atLeast"/>
        </w:trPr>
        <w:tc>
          <w:tcPr>
            <w:tcW w:w="1008" w:type="dxa"/>
            <w:tcBorders>
              <w:top w:val="single" w:color="auto" w:sz="6" w:space="0"/>
              <w:left w:val="single" w:color="auto" w:sz="12"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9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27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27"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27"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30" w:type="dxa"/>
            <w:tcBorders>
              <w:top w:val="single" w:color="auto" w:sz="6" w:space="0"/>
              <w:left w:val="single" w:color="auto" w:sz="6" w:space="0"/>
              <w:bottom w:val="single" w:color="auto" w:sz="6" w:space="0"/>
              <w:right w:val="single" w:color="auto" w:sz="12" w:space="0"/>
            </w:tcBorders>
            <w:noWrap w:val="0"/>
            <w:vAlign w:val="top"/>
          </w:tcPr>
          <w:p>
            <w:pPr>
              <w:spacing w:line="400" w:lineRule="exact"/>
              <w:rPr>
                <w:rFonts w:hint="eastAsia" w:ascii="楷体" w:hAnsi="楷体" w:eastAsia="楷体" w:cs="楷体"/>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38" w:hRule="atLeast"/>
        </w:trPr>
        <w:tc>
          <w:tcPr>
            <w:tcW w:w="1008" w:type="dxa"/>
            <w:tcBorders>
              <w:top w:val="single" w:color="auto" w:sz="6" w:space="0"/>
              <w:left w:val="single" w:color="auto" w:sz="12"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9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27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27"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27"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楷体" w:hAnsi="楷体" w:eastAsia="楷体" w:cs="楷体"/>
                <w:sz w:val="28"/>
              </w:rPr>
            </w:pPr>
          </w:p>
        </w:tc>
        <w:tc>
          <w:tcPr>
            <w:tcW w:w="1430" w:type="dxa"/>
            <w:tcBorders>
              <w:top w:val="single" w:color="auto" w:sz="6" w:space="0"/>
              <w:left w:val="single" w:color="auto" w:sz="6" w:space="0"/>
              <w:bottom w:val="single" w:color="auto" w:sz="6" w:space="0"/>
              <w:right w:val="single" w:color="auto" w:sz="12" w:space="0"/>
            </w:tcBorders>
            <w:noWrap w:val="0"/>
            <w:vAlign w:val="top"/>
          </w:tcPr>
          <w:p>
            <w:pPr>
              <w:spacing w:line="400" w:lineRule="exact"/>
              <w:rPr>
                <w:rFonts w:hint="eastAsia" w:ascii="楷体" w:hAnsi="楷体" w:eastAsia="楷体" w:cs="楷体"/>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38" w:hRule="atLeast"/>
        </w:trPr>
        <w:tc>
          <w:tcPr>
            <w:tcW w:w="1008" w:type="dxa"/>
            <w:tcBorders>
              <w:top w:val="single" w:color="auto" w:sz="6" w:space="0"/>
              <w:left w:val="single" w:color="auto" w:sz="12" w:space="0"/>
              <w:bottom w:val="single" w:color="auto" w:sz="12" w:space="0"/>
              <w:right w:val="single" w:color="auto" w:sz="6" w:space="0"/>
            </w:tcBorders>
            <w:noWrap w:val="0"/>
            <w:vAlign w:val="top"/>
          </w:tcPr>
          <w:p>
            <w:pPr>
              <w:spacing w:line="400" w:lineRule="exact"/>
              <w:rPr>
                <w:rFonts w:hint="eastAsia" w:ascii="楷体" w:hAnsi="楷体" w:eastAsia="楷体" w:cs="楷体"/>
                <w:sz w:val="28"/>
              </w:rPr>
            </w:pPr>
          </w:p>
        </w:tc>
        <w:tc>
          <w:tcPr>
            <w:tcW w:w="1980" w:type="dxa"/>
            <w:tcBorders>
              <w:top w:val="single" w:color="auto" w:sz="6" w:space="0"/>
              <w:left w:val="single" w:color="auto" w:sz="6" w:space="0"/>
              <w:bottom w:val="single" w:color="auto" w:sz="12" w:space="0"/>
              <w:right w:val="single" w:color="auto" w:sz="6" w:space="0"/>
            </w:tcBorders>
            <w:noWrap w:val="0"/>
            <w:vAlign w:val="top"/>
          </w:tcPr>
          <w:p>
            <w:pPr>
              <w:spacing w:line="400" w:lineRule="exact"/>
              <w:rPr>
                <w:rFonts w:hint="eastAsia" w:ascii="楷体" w:hAnsi="楷体" w:eastAsia="楷体" w:cs="楷体"/>
                <w:sz w:val="28"/>
              </w:rPr>
            </w:pPr>
          </w:p>
        </w:tc>
        <w:tc>
          <w:tcPr>
            <w:tcW w:w="1440" w:type="dxa"/>
            <w:tcBorders>
              <w:top w:val="single" w:color="auto" w:sz="6" w:space="0"/>
              <w:left w:val="single" w:color="auto" w:sz="6" w:space="0"/>
              <w:bottom w:val="single" w:color="auto" w:sz="12" w:space="0"/>
              <w:right w:val="single" w:color="auto" w:sz="6" w:space="0"/>
            </w:tcBorders>
            <w:noWrap w:val="0"/>
            <w:vAlign w:val="top"/>
          </w:tcPr>
          <w:p>
            <w:pPr>
              <w:spacing w:line="400" w:lineRule="exact"/>
              <w:rPr>
                <w:rFonts w:hint="eastAsia" w:ascii="楷体" w:hAnsi="楷体" w:eastAsia="楷体" w:cs="楷体"/>
                <w:sz w:val="28"/>
              </w:rPr>
            </w:pPr>
          </w:p>
        </w:tc>
        <w:tc>
          <w:tcPr>
            <w:tcW w:w="1279" w:type="dxa"/>
            <w:tcBorders>
              <w:top w:val="single" w:color="auto" w:sz="6" w:space="0"/>
              <w:left w:val="single" w:color="auto" w:sz="6" w:space="0"/>
              <w:bottom w:val="single" w:color="auto" w:sz="12" w:space="0"/>
              <w:right w:val="single" w:color="auto" w:sz="6" w:space="0"/>
            </w:tcBorders>
            <w:noWrap w:val="0"/>
            <w:vAlign w:val="top"/>
          </w:tcPr>
          <w:p>
            <w:pPr>
              <w:spacing w:line="400" w:lineRule="exact"/>
              <w:rPr>
                <w:rFonts w:hint="eastAsia" w:ascii="楷体" w:hAnsi="楷体" w:eastAsia="楷体" w:cs="楷体"/>
                <w:sz w:val="28"/>
              </w:rPr>
            </w:pPr>
          </w:p>
        </w:tc>
        <w:tc>
          <w:tcPr>
            <w:tcW w:w="1427" w:type="dxa"/>
            <w:tcBorders>
              <w:top w:val="single" w:color="auto" w:sz="6" w:space="0"/>
              <w:left w:val="single" w:color="auto" w:sz="6" w:space="0"/>
              <w:bottom w:val="single" w:color="auto" w:sz="12" w:space="0"/>
              <w:right w:val="single" w:color="auto" w:sz="6" w:space="0"/>
            </w:tcBorders>
            <w:noWrap w:val="0"/>
            <w:vAlign w:val="top"/>
          </w:tcPr>
          <w:p>
            <w:pPr>
              <w:spacing w:line="400" w:lineRule="exact"/>
              <w:rPr>
                <w:rFonts w:hint="eastAsia" w:ascii="楷体" w:hAnsi="楷体" w:eastAsia="楷体" w:cs="楷体"/>
                <w:sz w:val="28"/>
              </w:rPr>
            </w:pPr>
          </w:p>
        </w:tc>
        <w:tc>
          <w:tcPr>
            <w:tcW w:w="1427" w:type="dxa"/>
            <w:tcBorders>
              <w:top w:val="single" w:color="auto" w:sz="6" w:space="0"/>
              <w:left w:val="single" w:color="auto" w:sz="6" w:space="0"/>
              <w:bottom w:val="single" w:color="auto" w:sz="12" w:space="0"/>
              <w:right w:val="single" w:color="auto" w:sz="6" w:space="0"/>
            </w:tcBorders>
            <w:noWrap w:val="0"/>
            <w:vAlign w:val="top"/>
          </w:tcPr>
          <w:p>
            <w:pPr>
              <w:spacing w:line="400" w:lineRule="exact"/>
              <w:rPr>
                <w:rFonts w:hint="eastAsia" w:ascii="楷体" w:hAnsi="楷体" w:eastAsia="楷体" w:cs="楷体"/>
                <w:sz w:val="28"/>
              </w:rPr>
            </w:pPr>
          </w:p>
        </w:tc>
        <w:tc>
          <w:tcPr>
            <w:tcW w:w="1430" w:type="dxa"/>
            <w:tcBorders>
              <w:top w:val="single" w:color="auto" w:sz="6" w:space="0"/>
              <w:left w:val="single" w:color="auto" w:sz="6" w:space="0"/>
              <w:bottom w:val="single" w:color="auto" w:sz="12" w:space="0"/>
              <w:right w:val="single" w:color="auto" w:sz="12" w:space="0"/>
            </w:tcBorders>
            <w:noWrap w:val="0"/>
            <w:vAlign w:val="top"/>
          </w:tcPr>
          <w:p>
            <w:pPr>
              <w:spacing w:line="400" w:lineRule="exact"/>
              <w:rPr>
                <w:rFonts w:hint="eastAsia" w:ascii="楷体" w:hAnsi="楷体" w:eastAsia="楷体" w:cs="楷体"/>
                <w:sz w:val="28"/>
              </w:rPr>
            </w:pPr>
          </w:p>
        </w:tc>
      </w:tr>
    </w:tbl>
    <w:p>
      <w:pPr>
        <w:tabs>
          <w:tab w:val="left" w:pos="1000"/>
          <w:tab w:val="left" w:pos="2730"/>
        </w:tabs>
        <w:spacing w:line="520" w:lineRule="exact"/>
        <w:rPr>
          <w:rFonts w:hint="eastAsia" w:ascii="楷体" w:hAnsi="楷体" w:eastAsia="楷体" w:cs="楷体"/>
          <w:sz w:val="28"/>
        </w:rPr>
      </w:pPr>
    </w:p>
    <w:p>
      <w:pPr>
        <w:tabs>
          <w:tab w:val="left" w:pos="1000"/>
          <w:tab w:val="left" w:pos="2730"/>
        </w:tabs>
        <w:spacing w:line="520" w:lineRule="exact"/>
        <w:rPr>
          <w:rFonts w:hint="eastAsia" w:ascii="楷体" w:hAnsi="楷体" w:eastAsia="楷体" w:cs="楷体"/>
          <w:sz w:val="28"/>
        </w:rPr>
      </w:pPr>
    </w:p>
    <w:p>
      <w:pPr>
        <w:tabs>
          <w:tab w:val="left" w:pos="1000"/>
          <w:tab w:val="left" w:pos="2730"/>
        </w:tabs>
        <w:spacing w:line="520" w:lineRule="exact"/>
        <w:rPr>
          <w:rFonts w:hint="eastAsia" w:ascii="楷体" w:hAnsi="楷体" w:eastAsia="楷体" w:cs="楷体"/>
          <w:sz w:val="28"/>
        </w:rPr>
      </w:pPr>
    </w:p>
    <w:p>
      <w:pPr>
        <w:tabs>
          <w:tab w:val="left" w:pos="1000"/>
        </w:tabs>
        <w:spacing w:line="360" w:lineRule="auto"/>
        <w:rPr>
          <w:rFonts w:hint="eastAsia" w:ascii="楷体" w:hAnsi="楷体" w:eastAsia="楷体" w:cs="楷体"/>
          <w:sz w:val="28"/>
        </w:rPr>
        <w:sectPr>
          <w:headerReference r:id="rId9" w:type="default"/>
          <w:pgSz w:w="11906" w:h="16838"/>
          <w:pgMar w:top="1134" w:right="1134" w:bottom="1134" w:left="1134" w:header="851" w:footer="992" w:gutter="0"/>
          <w:cols w:space="720" w:num="1"/>
          <w:docGrid w:type="linesAndChars" w:linePitch="312" w:charSpace="0"/>
        </w:sectPr>
      </w:pPr>
    </w:p>
    <w:p>
      <w:pPr>
        <w:numPr>
          <w:ilvl w:val="0"/>
          <w:numId w:val="1"/>
        </w:numPr>
        <w:spacing w:line="360" w:lineRule="auto"/>
        <w:rPr>
          <w:rFonts w:hint="eastAsia" w:ascii="楷体" w:hAnsi="楷体" w:eastAsia="楷体" w:cs="楷体"/>
          <w:b/>
          <w:szCs w:val="21"/>
        </w:rPr>
      </w:pPr>
      <w:r>
        <w:rPr>
          <w:rFonts w:hint="eastAsia" w:ascii="楷体" w:hAnsi="楷体" w:eastAsia="楷体" w:cs="楷体"/>
          <w:b/>
          <w:szCs w:val="21"/>
        </w:rPr>
        <w:t>目的</w:t>
      </w:r>
    </w:p>
    <w:p>
      <w:pPr>
        <w:spacing w:line="360" w:lineRule="auto"/>
        <w:ind w:left="425"/>
        <w:rPr>
          <w:rFonts w:hint="eastAsia" w:ascii="楷体" w:hAnsi="楷体" w:eastAsia="楷体" w:cs="楷体"/>
          <w:szCs w:val="21"/>
        </w:rPr>
      </w:pPr>
      <w:r>
        <w:rPr>
          <w:rFonts w:hint="eastAsia" w:ascii="楷体" w:hAnsi="楷体" w:eastAsia="楷体" w:cs="楷体"/>
          <w:szCs w:val="21"/>
        </w:rPr>
        <w:t>为规范预算编制工作，加强预算管理，明确各部门目标和责任，落实预算执行、促进全面预算工作顺利开展，特制定本制度。</w:t>
      </w:r>
    </w:p>
    <w:p>
      <w:pPr>
        <w:spacing w:line="360" w:lineRule="auto"/>
        <w:ind w:left="425"/>
        <w:rPr>
          <w:rFonts w:hint="eastAsia" w:ascii="楷体" w:hAnsi="楷体" w:eastAsia="楷体" w:cs="楷体"/>
          <w:b/>
          <w:szCs w:val="21"/>
        </w:rPr>
      </w:pPr>
    </w:p>
    <w:p>
      <w:pPr>
        <w:numPr>
          <w:ilvl w:val="0"/>
          <w:numId w:val="1"/>
        </w:numPr>
        <w:spacing w:line="360" w:lineRule="auto"/>
        <w:rPr>
          <w:rFonts w:hint="eastAsia" w:ascii="楷体" w:hAnsi="楷体" w:eastAsia="楷体" w:cs="楷体"/>
          <w:b/>
          <w:szCs w:val="21"/>
        </w:rPr>
      </w:pPr>
      <w:r>
        <w:rPr>
          <w:rFonts w:hint="eastAsia" w:ascii="楷体" w:hAnsi="楷体" w:eastAsia="楷体" w:cs="楷体"/>
          <w:b/>
          <w:szCs w:val="21"/>
        </w:rPr>
        <w:t>适用范围</w:t>
      </w:r>
    </w:p>
    <w:p>
      <w:pPr>
        <w:spacing w:line="360" w:lineRule="auto"/>
        <w:ind w:left="426"/>
        <w:rPr>
          <w:rFonts w:hint="eastAsia" w:ascii="楷体" w:hAnsi="楷体" w:eastAsia="楷体" w:cs="楷体"/>
          <w:szCs w:val="21"/>
        </w:rPr>
      </w:pPr>
      <w:r>
        <w:rPr>
          <w:rFonts w:hint="eastAsia" w:ascii="楷体" w:hAnsi="楷体" w:eastAsia="楷体" w:cs="楷体"/>
          <w:szCs w:val="21"/>
        </w:rPr>
        <w:t>适用于凯金公司所有业务部门及其子公司。</w:t>
      </w:r>
    </w:p>
    <w:p>
      <w:pPr>
        <w:spacing w:line="360" w:lineRule="auto"/>
        <w:ind w:left="426"/>
        <w:rPr>
          <w:rFonts w:hint="eastAsia" w:ascii="楷体" w:hAnsi="楷体" w:eastAsia="楷体" w:cs="楷体"/>
          <w:szCs w:val="21"/>
        </w:rPr>
      </w:pPr>
    </w:p>
    <w:p>
      <w:pPr>
        <w:numPr>
          <w:ilvl w:val="0"/>
          <w:numId w:val="1"/>
        </w:numPr>
        <w:spacing w:line="360" w:lineRule="auto"/>
        <w:rPr>
          <w:rFonts w:hint="eastAsia" w:ascii="楷体" w:hAnsi="楷体" w:eastAsia="楷体" w:cs="楷体"/>
          <w:b/>
          <w:szCs w:val="21"/>
        </w:rPr>
      </w:pPr>
      <w:r>
        <w:rPr>
          <w:rFonts w:hint="eastAsia" w:ascii="楷体" w:hAnsi="楷体" w:eastAsia="楷体" w:cs="楷体"/>
          <w:b/>
          <w:szCs w:val="21"/>
        </w:rPr>
        <w:t>职责</w:t>
      </w:r>
    </w:p>
    <w:p>
      <w:pPr>
        <w:numPr>
          <w:ilvl w:val="1"/>
          <w:numId w:val="1"/>
        </w:numPr>
        <w:tabs>
          <w:tab w:val="left" w:pos="709"/>
        </w:tabs>
        <w:spacing w:line="360" w:lineRule="auto"/>
        <w:ind w:hanging="709"/>
        <w:rPr>
          <w:rFonts w:hint="eastAsia" w:ascii="楷体" w:hAnsi="楷体" w:eastAsia="楷体" w:cs="楷体"/>
          <w:szCs w:val="21"/>
        </w:rPr>
      </w:pPr>
      <w:r>
        <w:rPr>
          <w:rFonts w:hint="eastAsia" w:ascii="楷体" w:hAnsi="楷体" w:eastAsia="楷体" w:cs="楷体"/>
          <w:szCs w:val="21"/>
        </w:rPr>
        <w:t>财务部经理协助各部门编制分项预算，根据税费、期间费用、其他分项预算编制营运资金预算。汇总各分项预算编制公司全面预算；监督并汇总各部门预算执行情况，汇总各预算执行单位差异结果分析及原因，编制预算分析报告，根据审议后的差异调整方案调整预算。</w:t>
      </w:r>
    </w:p>
    <w:p>
      <w:pPr>
        <w:numPr>
          <w:ilvl w:val="1"/>
          <w:numId w:val="1"/>
        </w:numPr>
        <w:tabs>
          <w:tab w:val="left" w:pos="709"/>
        </w:tabs>
        <w:spacing w:line="360" w:lineRule="auto"/>
        <w:ind w:hanging="709"/>
        <w:rPr>
          <w:rFonts w:hint="eastAsia" w:ascii="楷体" w:hAnsi="楷体" w:eastAsia="楷体" w:cs="楷体"/>
          <w:szCs w:val="21"/>
        </w:rPr>
      </w:pPr>
      <w:r>
        <w:rPr>
          <w:rFonts w:hint="eastAsia" w:ascii="楷体" w:hAnsi="楷体" w:eastAsia="楷体" w:cs="楷体"/>
          <w:szCs w:val="21"/>
        </w:rPr>
        <w:t>财务总监复核各部门预算、组织财务人员编制财务预算工作，复核全面预算并提出预算调整意见；执行预算分析并编制预算执行差异结果的报告；汇总编写各部门调整预算。</w:t>
      </w:r>
    </w:p>
    <w:p>
      <w:pPr>
        <w:numPr>
          <w:ilvl w:val="1"/>
          <w:numId w:val="1"/>
        </w:numPr>
        <w:tabs>
          <w:tab w:val="left" w:pos="709"/>
        </w:tabs>
        <w:spacing w:line="360" w:lineRule="auto"/>
        <w:ind w:hanging="709"/>
        <w:rPr>
          <w:rFonts w:hint="eastAsia" w:ascii="楷体" w:hAnsi="楷体" w:eastAsia="楷体" w:cs="楷体"/>
          <w:szCs w:val="21"/>
        </w:rPr>
      </w:pPr>
      <w:r>
        <w:rPr>
          <w:rFonts w:hint="eastAsia" w:ascii="楷体" w:hAnsi="楷体" w:eastAsia="楷体" w:cs="楷体"/>
          <w:szCs w:val="21"/>
        </w:rPr>
        <w:t>各部门负责人：组织本部门编制部门业务预算、复核预算方案、分解本部门预算目标、考核部门成员分解预算目标执行情况、提出调整预算方案。</w:t>
      </w:r>
    </w:p>
    <w:p>
      <w:pPr>
        <w:tabs>
          <w:tab w:val="left" w:pos="709"/>
        </w:tabs>
        <w:spacing w:line="360" w:lineRule="auto"/>
        <w:ind w:left="709"/>
        <w:rPr>
          <w:rFonts w:hint="eastAsia" w:ascii="楷体" w:hAnsi="楷体" w:eastAsia="楷体" w:cs="楷体"/>
          <w:szCs w:val="21"/>
        </w:rPr>
      </w:pPr>
    </w:p>
    <w:p>
      <w:pPr>
        <w:numPr>
          <w:ilvl w:val="0"/>
          <w:numId w:val="1"/>
        </w:numPr>
        <w:tabs>
          <w:tab w:val="left" w:pos="426"/>
        </w:tabs>
        <w:spacing w:line="360" w:lineRule="auto"/>
        <w:ind w:left="709" w:hanging="709"/>
        <w:rPr>
          <w:rFonts w:hint="eastAsia" w:ascii="楷体" w:hAnsi="楷体" w:eastAsia="楷体" w:cs="楷体"/>
          <w:b/>
          <w:szCs w:val="21"/>
        </w:rPr>
      </w:pPr>
      <w:r>
        <w:rPr>
          <w:rFonts w:hint="eastAsia" w:ascii="楷体" w:hAnsi="楷体" w:eastAsia="楷体" w:cs="楷体"/>
          <w:b/>
          <w:szCs w:val="21"/>
        </w:rPr>
        <w:t>工作程序</w:t>
      </w:r>
    </w:p>
    <w:p>
      <w:pPr>
        <w:numPr>
          <w:ilvl w:val="1"/>
          <w:numId w:val="1"/>
        </w:numPr>
        <w:tabs>
          <w:tab w:val="left" w:pos="709"/>
        </w:tabs>
        <w:spacing w:line="360" w:lineRule="auto"/>
        <w:ind w:hanging="709"/>
        <w:rPr>
          <w:rFonts w:hint="eastAsia" w:ascii="楷体" w:hAnsi="楷体" w:eastAsia="楷体" w:cs="楷体"/>
          <w:szCs w:val="21"/>
        </w:rPr>
      </w:pPr>
      <w:r>
        <w:rPr>
          <w:rFonts w:hint="eastAsia" w:ascii="楷体" w:hAnsi="楷体" w:eastAsia="楷体" w:cs="楷体"/>
          <w:szCs w:val="21"/>
        </w:rPr>
        <w:t>预算组织架构的设置</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全面预算管理是指通过预算的编制、执行、控制、考评与评价，整合公司业务流和信息流，控制日常经营活动，分散经营风险，优化资源配置，以实现战略目标。子公司预算由母公司编制，实行统一管理。</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公司于股改后构建四级预算管理工作机构，分别是董事会、预算管理委员会、总经理办公会、财务部。</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董事会：全面预算管理工作的最高管理机构，负责审批年度预算、年度预算调整方案，督促、监管和落实各项预算管理工作。董事长是全面预算日常管理工作的落实者和决策者。</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预算管理委员会：按照《公司章程》和《公司法》的相关规定，在董事会下设预算管理委员会，由董事会成员组成，作为全面预算管理工作的决策的建议机构。预算管理委员会具体职责包括：</w:t>
      </w:r>
    </w:p>
    <w:p>
      <w:pPr>
        <w:numPr>
          <w:ilvl w:val="2"/>
          <w:numId w:val="2"/>
        </w:numPr>
        <w:tabs>
          <w:tab w:val="left" w:pos="284"/>
          <w:tab w:val="left" w:pos="709"/>
          <w:tab w:val="left" w:pos="851"/>
        </w:tabs>
        <w:spacing w:line="360" w:lineRule="auto"/>
        <w:ind w:left="1134" w:hanging="425"/>
        <w:rPr>
          <w:rFonts w:hint="eastAsia" w:ascii="楷体" w:hAnsi="楷体" w:eastAsia="楷体" w:cs="楷体"/>
          <w:szCs w:val="21"/>
        </w:rPr>
      </w:pPr>
      <w:r>
        <w:rPr>
          <w:rFonts w:hint="eastAsia" w:ascii="楷体" w:hAnsi="楷体" w:eastAsia="楷体" w:cs="楷体"/>
          <w:szCs w:val="21"/>
        </w:rPr>
        <w:t>负责对公司年度经营计划等事项进行研究；</w:t>
      </w:r>
    </w:p>
    <w:p>
      <w:pPr>
        <w:numPr>
          <w:ilvl w:val="2"/>
          <w:numId w:val="2"/>
        </w:numPr>
        <w:tabs>
          <w:tab w:val="left" w:pos="284"/>
          <w:tab w:val="left" w:pos="709"/>
          <w:tab w:val="left" w:pos="851"/>
        </w:tabs>
        <w:spacing w:line="360" w:lineRule="auto"/>
        <w:ind w:left="1134" w:hanging="425"/>
        <w:rPr>
          <w:rFonts w:hint="eastAsia" w:ascii="楷体" w:hAnsi="楷体" w:eastAsia="楷体" w:cs="楷体"/>
          <w:szCs w:val="21"/>
        </w:rPr>
      </w:pPr>
      <w:r>
        <w:rPr>
          <w:rFonts w:hint="eastAsia" w:ascii="楷体" w:hAnsi="楷体" w:eastAsia="楷体" w:cs="楷体"/>
          <w:szCs w:val="21"/>
        </w:rPr>
        <w:t>负责审议公司全面预算与管理的原则与目标；</w:t>
      </w:r>
    </w:p>
    <w:p>
      <w:pPr>
        <w:numPr>
          <w:ilvl w:val="2"/>
          <w:numId w:val="2"/>
        </w:numPr>
        <w:tabs>
          <w:tab w:val="left" w:pos="284"/>
          <w:tab w:val="left" w:pos="709"/>
          <w:tab w:val="left" w:pos="851"/>
        </w:tabs>
        <w:spacing w:line="360" w:lineRule="auto"/>
        <w:ind w:left="1134" w:hanging="425"/>
        <w:rPr>
          <w:rFonts w:hint="eastAsia" w:ascii="楷体" w:hAnsi="楷体" w:eastAsia="楷体" w:cs="楷体"/>
          <w:szCs w:val="21"/>
        </w:rPr>
      </w:pPr>
      <w:r>
        <w:rPr>
          <w:rFonts w:hint="eastAsia" w:ascii="楷体" w:hAnsi="楷体" w:eastAsia="楷体" w:cs="楷体"/>
          <w:szCs w:val="21"/>
        </w:rPr>
        <w:t>研究审议公司年度预算方案和预算调整方案；</w:t>
      </w:r>
    </w:p>
    <w:p>
      <w:pPr>
        <w:numPr>
          <w:ilvl w:val="2"/>
          <w:numId w:val="2"/>
        </w:numPr>
        <w:tabs>
          <w:tab w:val="left" w:pos="284"/>
          <w:tab w:val="left" w:pos="709"/>
          <w:tab w:val="left" w:pos="851"/>
        </w:tabs>
        <w:spacing w:line="360" w:lineRule="auto"/>
        <w:ind w:left="1134" w:hanging="425"/>
        <w:rPr>
          <w:rFonts w:hint="eastAsia" w:ascii="楷体" w:hAnsi="楷体" w:eastAsia="楷体" w:cs="楷体"/>
          <w:szCs w:val="21"/>
        </w:rPr>
      </w:pPr>
      <w:r>
        <w:rPr>
          <w:rFonts w:hint="eastAsia" w:ascii="楷体" w:hAnsi="楷体" w:eastAsia="楷体" w:cs="楷体"/>
          <w:szCs w:val="21"/>
        </w:rPr>
        <w:t>根据公司预算执行结果提出处理意见，向董事会提出建议。</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总经理办公会：加强对公司预算管理的组织、协调和落实，严格预算的审核，为良好的预算执行做好组织保障工作。具体职责包括：</w:t>
      </w:r>
    </w:p>
    <w:p>
      <w:pPr>
        <w:numPr>
          <w:ilvl w:val="2"/>
          <w:numId w:val="3"/>
        </w:numPr>
        <w:tabs>
          <w:tab w:val="left" w:pos="284"/>
          <w:tab w:val="left" w:pos="709"/>
          <w:tab w:val="left" w:pos="851"/>
          <w:tab w:val="left" w:pos="1134"/>
        </w:tabs>
        <w:spacing w:line="360" w:lineRule="auto"/>
        <w:ind w:left="1276"/>
        <w:rPr>
          <w:rFonts w:hint="eastAsia" w:ascii="楷体" w:hAnsi="楷体" w:eastAsia="楷体" w:cs="楷体"/>
          <w:szCs w:val="21"/>
        </w:rPr>
      </w:pPr>
      <w:r>
        <w:rPr>
          <w:rFonts w:hint="eastAsia" w:ascii="楷体" w:hAnsi="楷体" w:eastAsia="楷体" w:cs="楷体"/>
          <w:szCs w:val="21"/>
        </w:rPr>
        <w:t>审议和发布公司有关预算管理的制度、政策；</w:t>
      </w:r>
    </w:p>
    <w:p>
      <w:pPr>
        <w:numPr>
          <w:ilvl w:val="2"/>
          <w:numId w:val="3"/>
        </w:numPr>
        <w:tabs>
          <w:tab w:val="left" w:pos="284"/>
          <w:tab w:val="left" w:pos="709"/>
          <w:tab w:val="left" w:pos="851"/>
          <w:tab w:val="left" w:pos="1134"/>
        </w:tabs>
        <w:spacing w:line="360" w:lineRule="auto"/>
        <w:ind w:left="1276"/>
        <w:rPr>
          <w:rFonts w:hint="eastAsia" w:ascii="楷体" w:hAnsi="楷体" w:eastAsia="楷体" w:cs="楷体"/>
          <w:szCs w:val="21"/>
        </w:rPr>
      </w:pPr>
      <w:r>
        <w:rPr>
          <w:rFonts w:hint="eastAsia" w:ascii="楷体" w:hAnsi="楷体" w:eastAsia="楷体" w:cs="楷体"/>
          <w:szCs w:val="21"/>
        </w:rPr>
        <w:t xml:space="preserve">研究拟定公司年度预算目标； </w:t>
      </w:r>
    </w:p>
    <w:p>
      <w:pPr>
        <w:numPr>
          <w:ilvl w:val="2"/>
          <w:numId w:val="3"/>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审查公司各业务部门年度预算、预算执行报告及年度预算调整方案，将预算有关的重大情况向公司董事会报告；</w:t>
      </w:r>
    </w:p>
    <w:p>
      <w:pPr>
        <w:numPr>
          <w:ilvl w:val="2"/>
          <w:numId w:val="3"/>
        </w:numPr>
        <w:tabs>
          <w:tab w:val="left" w:pos="284"/>
          <w:tab w:val="left" w:pos="709"/>
          <w:tab w:val="left" w:pos="851"/>
          <w:tab w:val="left" w:pos="1134"/>
        </w:tabs>
        <w:spacing w:line="360" w:lineRule="auto"/>
        <w:ind w:left="1276"/>
        <w:rPr>
          <w:rFonts w:hint="eastAsia" w:ascii="楷体" w:hAnsi="楷体" w:eastAsia="楷体" w:cs="楷体"/>
          <w:szCs w:val="21"/>
        </w:rPr>
      </w:pPr>
      <w:r>
        <w:rPr>
          <w:rFonts w:hint="eastAsia" w:ascii="楷体" w:hAnsi="楷体" w:eastAsia="楷体" w:cs="楷体"/>
          <w:szCs w:val="21"/>
        </w:rPr>
        <w:t>组织对公司各预算单位预算执行的考评工作。</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财务部：负责执行公司预算的编制、调整、考核、监控、分析和报告等日常具体工作。具体职责包括：</w:t>
      </w:r>
    </w:p>
    <w:p>
      <w:pPr>
        <w:numPr>
          <w:ilvl w:val="2"/>
          <w:numId w:val="4"/>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提出公司年度经营目标计划及有关预算编制的建议；</w:t>
      </w:r>
    </w:p>
    <w:p>
      <w:pPr>
        <w:numPr>
          <w:ilvl w:val="2"/>
          <w:numId w:val="4"/>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组织、指导、督促公司各预算单位的预算编制工作；</w:t>
      </w:r>
    </w:p>
    <w:p>
      <w:pPr>
        <w:numPr>
          <w:ilvl w:val="2"/>
          <w:numId w:val="4"/>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对公司预算编制和执行过程中发生的分歧、矛盾或问题进行协调；</w:t>
      </w:r>
    </w:p>
    <w:p>
      <w:pPr>
        <w:numPr>
          <w:ilvl w:val="2"/>
          <w:numId w:val="4"/>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审核、汇总公司各业务部门的预算方案及预算调整方案，提出初步审核意见，提交审查；</w:t>
      </w:r>
    </w:p>
    <w:p>
      <w:pPr>
        <w:numPr>
          <w:ilvl w:val="2"/>
          <w:numId w:val="4"/>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检查公司各业务部门的预算执行情况，督导各预算单位切实执行预算；分析实际执行结果与预算的差异情况，每半年提交预算执行情况分析报告；</w:t>
      </w:r>
    </w:p>
    <w:p>
      <w:pPr>
        <w:numPr>
          <w:ilvl w:val="2"/>
          <w:numId w:val="4"/>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其他有关公司预算推行的策划与联络事项。</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全面预算管理工作中各岗位职责：</w:t>
      </w:r>
    </w:p>
    <w:p>
      <w:pPr>
        <w:numPr>
          <w:ilvl w:val="2"/>
          <w:numId w:val="5"/>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董事长：负责审议公司全面预算方案和预算调整，审批预算外事项，考核预算执行情况。</w:t>
      </w:r>
    </w:p>
    <w:p>
      <w:pPr>
        <w:numPr>
          <w:ilvl w:val="2"/>
          <w:numId w:val="5"/>
        </w:numPr>
        <w:tabs>
          <w:tab w:val="left" w:pos="284"/>
          <w:tab w:val="left" w:pos="709"/>
          <w:tab w:val="left" w:pos="851"/>
          <w:tab w:val="left" w:pos="1134"/>
        </w:tabs>
        <w:spacing w:line="360" w:lineRule="auto"/>
        <w:ind w:hanging="709"/>
        <w:rPr>
          <w:rFonts w:hint="eastAsia" w:ascii="楷体" w:hAnsi="楷体" w:eastAsia="楷体" w:cs="楷体"/>
          <w:szCs w:val="21"/>
        </w:rPr>
      </w:pPr>
      <w:r>
        <w:rPr>
          <w:rFonts w:hint="eastAsia" w:ascii="楷体" w:hAnsi="楷体" w:eastAsia="楷体" w:cs="楷体"/>
          <w:szCs w:val="21"/>
        </w:rPr>
        <w:t>各部门负责人：复核本部门年度预算方案，审议预算外事项，具体落实各项预算方案。</w:t>
      </w:r>
    </w:p>
    <w:p>
      <w:pPr>
        <w:numPr>
          <w:ilvl w:val="2"/>
          <w:numId w:val="5"/>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财务部总监：复核各部门预算方案，汇总调整编制全面预算方案，复核预算执行对比分析报告，提出调整预算方案。</w:t>
      </w:r>
    </w:p>
    <w:p>
      <w:pPr>
        <w:tabs>
          <w:tab w:val="left" w:pos="284"/>
          <w:tab w:val="left" w:pos="709"/>
        </w:tabs>
        <w:spacing w:line="360" w:lineRule="auto"/>
        <w:rPr>
          <w:rFonts w:hint="eastAsia" w:ascii="楷体" w:hAnsi="楷体" w:eastAsia="楷体" w:cs="楷体"/>
          <w:szCs w:val="21"/>
        </w:rPr>
      </w:pPr>
    </w:p>
    <w:p>
      <w:pPr>
        <w:numPr>
          <w:ilvl w:val="1"/>
          <w:numId w:val="1"/>
        </w:numPr>
        <w:tabs>
          <w:tab w:val="left" w:pos="709"/>
        </w:tabs>
        <w:spacing w:line="360" w:lineRule="auto"/>
        <w:ind w:hanging="709"/>
        <w:rPr>
          <w:rFonts w:hint="eastAsia" w:ascii="楷体" w:hAnsi="楷体" w:eastAsia="楷体" w:cs="楷体"/>
          <w:szCs w:val="21"/>
        </w:rPr>
      </w:pPr>
      <w:r>
        <w:rPr>
          <w:rFonts w:hint="eastAsia" w:ascii="楷体" w:hAnsi="楷体" w:eastAsia="楷体" w:cs="楷体"/>
          <w:szCs w:val="21"/>
        </w:rPr>
        <w:t>预算的编制和审批</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全面预算的编制工作主要分为确定年度预算目标和编制年度预算方案两部分，前者体现预算管理工作自上而下的统御过程，后者体现预算管理工作自下而上的融合过程。</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董事长组织召开由各业务部门负责人参与的会议，综合分析市场环境、公司经营现状、发展战略等因素，提出公司下一年度的预算目标。</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行政专员记录会议内容，拟写成《总经理会议纪要》。</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预算管理委员会对年度预算目标进行审议，提出修订意见，并按照委员会议事规则审议通过后，形成董事会议案提交董事会审议。</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董事会审议年度预算目标，提出修订意见，并按照董事会议事规则审议通过后，形成董事会决议，下发公司内部各级部门。</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各业务部门在本部门业务范围内对年度预算目标进行分解，结合部门以前年度和现阶段的业务情况，并结合公司发展战略和经济形势、市场环境等编制分项预算。</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分项预算主要包括销售预算、生产和采购预算、薪酬预算、财务预算四个部分。</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销售预算：</w:t>
      </w:r>
    </w:p>
    <w:p>
      <w:pPr>
        <w:numPr>
          <w:ilvl w:val="2"/>
          <w:numId w:val="6"/>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销售预算主要是指预算期内公司销售各种石墨产品可能实现的销售量或者业务量及其收入的预算。</w:t>
      </w:r>
    </w:p>
    <w:p>
      <w:pPr>
        <w:numPr>
          <w:ilvl w:val="2"/>
          <w:numId w:val="6"/>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销售区域经理根据市场情况、往年销售情况、公司产品的市场竞争力和占有率，对年度预算目标进行分解，编写成《年度销售计划》。</w:t>
      </w:r>
    </w:p>
    <w:p>
      <w:pPr>
        <w:numPr>
          <w:ilvl w:val="2"/>
          <w:numId w:val="6"/>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编制预算时，由经办人向子公司获取相关信息，对全公司的预算进行统筹管理。</w:t>
      </w:r>
    </w:p>
    <w:p>
      <w:pPr>
        <w:numPr>
          <w:ilvl w:val="2"/>
          <w:numId w:val="6"/>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销售部门负责人、总经理、董事长审核《年度销售计划》。</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生产和采购预算：</w:t>
      </w:r>
    </w:p>
    <w:p>
      <w:pPr>
        <w:numPr>
          <w:ilvl w:val="2"/>
          <w:numId w:val="7"/>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生产和采购预算主要是指预算期内所要达到的生产规模及其产品结构的预算。</w:t>
      </w:r>
    </w:p>
    <w:p>
      <w:pPr>
        <w:numPr>
          <w:ilvl w:val="2"/>
          <w:numId w:val="7"/>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研发中心将《年度销售计划》进行技术分解，计算出年度半成品计划产量，转化成石墨化料需求。PMC部门根据研发中心技术分解数据，结合期初库存量、期末库存量、经验最佳库存量、以及每月石墨化料需求，制定年度生产计划，计划每种类型、规格产品年生产量。年度生产计划由PMC部门负责人、生产副总审批。</w:t>
      </w:r>
    </w:p>
    <w:p>
      <w:pPr>
        <w:numPr>
          <w:ilvl w:val="2"/>
          <w:numId w:val="7"/>
        </w:numPr>
        <w:tabs>
          <w:tab w:val="left" w:pos="284"/>
          <w:tab w:val="left" w:pos="709"/>
          <w:tab w:val="left" w:pos="851"/>
          <w:tab w:val="left" w:pos="1134"/>
        </w:tabs>
        <w:spacing w:line="360" w:lineRule="auto"/>
        <w:rPr>
          <w:rFonts w:hint="eastAsia" w:ascii="楷体" w:hAnsi="楷体" w:eastAsia="楷体" w:cs="楷体"/>
          <w:szCs w:val="21"/>
        </w:rPr>
      </w:pPr>
      <w:r>
        <w:rPr>
          <w:rFonts w:hint="eastAsia" w:ascii="楷体" w:hAnsi="楷体" w:eastAsia="楷体" w:cs="楷体"/>
          <w:szCs w:val="21"/>
        </w:rPr>
        <w:t>PMC部门根据原材料库存及生产需求，并考虑生产损耗和收率，生成物料需求计划。</w:t>
      </w:r>
    </w:p>
    <w:p>
      <w:pPr>
        <w:numPr>
          <w:ilvl w:val="2"/>
          <w:numId w:val="7"/>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采购部根据PMC部门提供的《年度生产计划》，物料采购需求，生成采购资金需求，编制《原料需求计划》，并根据采购款项帐期，制定原料购买资金支出计划。</w:t>
      </w:r>
    </w:p>
    <w:p>
      <w:pPr>
        <w:numPr>
          <w:ilvl w:val="2"/>
          <w:numId w:val="7"/>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生产部、品质部、PMC部门根据生产需求计划，制定消耗品、辅助材料需求预算，提交采购部；</w:t>
      </w:r>
    </w:p>
    <w:p>
      <w:pPr>
        <w:numPr>
          <w:ilvl w:val="2"/>
          <w:numId w:val="7"/>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 xml:space="preserve">维修部根据生产需求，制定维修备品备件需求量，提交采购部； </w:t>
      </w:r>
    </w:p>
    <w:p>
      <w:pPr>
        <w:numPr>
          <w:ilvl w:val="2"/>
          <w:numId w:val="7"/>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行政部门提供年度办公用固定资产采购需求，办公用品采购需求，生产部提供生产设备年度采购需求，给至采购部。</w:t>
      </w:r>
    </w:p>
    <w:p>
      <w:pPr>
        <w:numPr>
          <w:ilvl w:val="2"/>
          <w:numId w:val="7"/>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采购员向各供应商进行询价，综合评估采购价格计算采购支出，形成《年度采购预算》，提交采购部负责人审核。</w:t>
      </w:r>
    </w:p>
    <w:p>
      <w:pPr>
        <w:numPr>
          <w:ilvl w:val="2"/>
          <w:numId w:val="7"/>
        </w:numPr>
        <w:tabs>
          <w:tab w:val="left" w:pos="284"/>
          <w:tab w:val="left" w:pos="709"/>
          <w:tab w:val="left" w:pos="851"/>
          <w:tab w:val="left" w:pos="1134"/>
        </w:tabs>
        <w:spacing w:line="360" w:lineRule="auto"/>
        <w:ind w:left="1134" w:hanging="425"/>
        <w:rPr>
          <w:rFonts w:hint="eastAsia" w:ascii="楷体" w:hAnsi="楷体" w:eastAsia="楷体" w:cs="楷体"/>
          <w:szCs w:val="21"/>
        </w:rPr>
      </w:pPr>
      <w:r>
        <w:rPr>
          <w:rFonts w:hint="eastAsia" w:ascii="楷体" w:hAnsi="楷体" w:eastAsia="楷体" w:cs="楷体"/>
          <w:szCs w:val="21"/>
        </w:rPr>
        <w:t>编制预算时，由经办人向子公司获取相关信息，对全公司的预算进行统筹管理。</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薪酬预算：</w:t>
      </w:r>
    </w:p>
    <w:p>
      <w:pPr>
        <w:numPr>
          <w:ilvl w:val="2"/>
          <w:numId w:val="8"/>
        </w:numPr>
        <w:tabs>
          <w:tab w:val="left" w:pos="284"/>
          <w:tab w:val="left" w:pos="709"/>
          <w:tab w:val="left" w:pos="851"/>
        </w:tabs>
        <w:spacing w:line="360" w:lineRule="auto"/>
        <w:ind w:left="1276"/>
        <w:rPr>
          <w:rFonts w:hint="eastAsia" w:ascii="楷体" w:hAnsi="楷体" w:eastAsia="楷体" w:cs="楷体"/>
          <w:szCs w:val="21"/>
        </w:rPr>
      </w:pPr>
      <w:r>
        <w:rPr>
          <w:rFonts w:hint="eastAsia" w:ascii="楷体" w:hAnsi="楷体" w:eastAsia="楷体" w:cs="楷体"/>
          <w:szCs w:val="21"/>
        </w:rPr>
        <w:t>生产部、品质部负责人根据生产需求以及生产人员编制，制定品质、生产一线人员人工预算，提交财务部。</w:t>
      </w:r>
    </w:p>
    <w:p>
      <w:pPr>
        <w:numPr>
          <w:ilvl w:val="2"/>
          <w:numId w:val="8"/>
        </w:numPr>
        <w:tabs>
          <w:tab w:val="left" w:pos="284"/>
          <w:tab w:val="left" w:pos="709"/>
          <w:tab w:val="left" w:pos="851"/>
        </w:tabs>
        <w:spacing w:line="360" w:lineRule="auto"/>
        <w:ind w:left="1276"/>
        <w:rPr>
          <w:rFonts w:hint="eastAsia" w:ascii="楷体" w:hAnsi="楷体" w:eastAsia="楷体" w:cs="楷体"/>
          <w:szCs w:val="21"/>
        </w:rPr>
      </w:pPr>
      <w:r>
        <w:rPr>
          <w:rFonts w:hint="eastAsia" w:ascii="楷体" w:hAnsi="楷体" w:eastAsia="楷体" w:cs="楷体"/>
          <w:szCs w:val="21"/>
        </w:rPr>
        <w:t>根据生产需求计划，生产部、品质部、工程维修部、PMC部门负责人共同分别制定维修、品质和生产管理人员、仓库人员间接人工预算，提交财务部。</w:t>
      </w:r>
    </w:p>
    <w:p>
      <w:pPr>
        <w:numPr>
          <w:ilvl w:val="2"/>
          <w:numId w:val="8"/>
        </w:numPr>
        <w:tabs>
          <w:tab w:val="left" w:pos="284"/>
          <w:tab w:val="left" w:pos="709"/>
          <w:tab w:val="left" w:pos="851"/>
        </w:tabs>
        <w:spacing w:line="360" w:lineRule="auto"/>
        <w:ind w:left="1276"/>
        <w:rPr>
          <w:rFonts w:hint="eastAsia" w:ascii="楷体" w:hAnsi="楷体" w:eastAsia="楷体" w:cs="楷体"/>
          <w:szCs w:val="21"/>
        </w:rPr>
      </w:pPr>
      <w:r>
        <w:rPr>
          <w:rFonts w:hint="eastAsia" w:ascii="楷体" w:hAnsi="楷体" w:eastAsia="楷体" w:cs="楷体"/>
          <w:szCs w:val="21"/>
        </w:rPr>
        <w:t>财务部与PMC部门、生产部沟通，了解《年度生产计划》和现有人员编制下相应产量的工作强度，并结合往年生产人工成本，对生产人工成本进行预算，编制《生产人工成本预算》。</w:t>
      </w:r>
    </w:p>
    <w:p>
      <w:pPr>
        <w:numPr>
          <w:ilvl w:val="2"/>
          <w:numId w:val="8"/>
        </w:numPr>
        <w:tabs>
          <w:tab w:val="left" w:pos="284"/>
          <w:tab w:val="left" w:pos="709"/>
          <w:tab w:val="left" w:pos="851"/>
        </w:tabs>
        <w:spacing w:line="360" w:lineRule="auto"/>
        <w:ind w:left="1276"/>
        <w:rPr>
          <w:rFonts w:hint="eastAsia" w:ascii="楷体" w:hAnsi="楷体" w:eastAsia="楷体" w:cs="楷体"/>
          <w:szCs w:val="21"/>
        </w:rPr>
      </w:pPr>
      <w:r>
        <w:rPr>
          <w:rFonts w:hint="eastAsia" w:ascii="楷体" w:hAnsi="楷体" w:eastAsia="楷体" w:cs="楷体"/>
          <w:szCs w:val="21"/>
        </w:rPr>
        <w:t>财务部与行政中心沟通，综合了解分析公司现有岗位和下年度预计新增岗位，结合行政岗位薪资水平，并参照往年员工工资支出，编制公司年度薪酬预算。</w:t>
      </w:r>
    </w:p>
    <w:p>
      <w:pPr>
        <w:numPr>
          <w:ilvl w:val="2"/>
          <w:numId w:val="8"/>
        </w:numPr>
        <w:tabs>
          <w:tab w:val="left" w:pos="284"/>
          <w:tab w:val="left" w:pos="709"/>
          <w:tab w:val="left" w:pos="851"/>
        </w:tabs>
        <w:spacing w:line="360" w:lineRule="auto"/>
        <w:ind w:left="1276"/>
        <w:rPr>
          <w:rFonts w:hint="eastAsia" w:ascii="楷体" w:hAnsi="楷体" w:eastAsia="楷体" w:cs="楷体"/>
          <w:szCs w:val="21"/>
        </w:rPr>
      </w:pPr>
      <w:r>
        <w:rPr>
          <w:rFonts w:hint="eastAsia" w:ascii="楷体" w:hAnsi="楷体" w:eastAsia="楷体" w:cs="楷体"/>
          <w:szCs w:val="21"/>
        </w:rPr>
        <w:t>编制预算时，由经办人向子公司获取相关信息，对全公司的预算进行统筹管理。</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 xml:space="preserve">财务预算： </w:t>
      </w:r>
    </w:p>
    <w:p>
      <w:pPr>
        <w:numPr>
          <w:ilvl w:val="2"/>
          <w:numId w:val="9"/>
        </w:numPr>
        <w:tabs>
          <w:tab w:val="left" w:pos="284"/>
          <w:tab w:val="left" w:pos="709"/>
          <w:tab w:val="left" w:pos="851"/>
        </w:tabs>
        <w:spacing w:line="360" w:lineRule="auto"/>
        <w:ind w:left="1276"/>
        <w:rPr>
          <w:rFonts w:hint="eastAsia" w:ascii="楷体" w:hAnsi="楷体" w:eastAsia="楷体" w:cs="楷体"/>
          <w:szCs w:val="21"/>
        </w:rPr>
      </w:pPr>
      <w:r>
        <w:rPr>
          <w:rFonts w:hint="eastAsia" w:ascii="楷体" w:hAnsi="楷体" w:eastAsia="楷体" w:cs="楷体"/>
          <w:szCs w:val="21"/>
        </w:rPr>
        <w:t>费用预算：行政中心根据生产需求量以及往年水电费用、管理人员费用等，制定水电费、管理人员费用、办公费用预算；</w:t>
      </w:r>
    </w:p>
    <w:p>
      <w:pPr>
        <w:numPr>
          <w:ilvl w:val="2"/>
          <w:numId w:val="9"/>
        </w:numPr>
        <w:tabs>
          <w:tab w:val="left" w:pos="284"/>
          <w:tab w:val="left" w:pos="709"/>
          <w:tab w:val="left" w:pos="851"/>
        </w:tabs>
        <w:spacing w:line="360" w:lineRule="auto"/>
        <w:ind w:left="1276"/>
        <w:rPr>
          <w:rFonts w:hint="eastAsia" w:ascii="楷体" w:hAnsi="楷体" w:eastAsia="楷体" w:cs="楷体"/>
          <w:szCs w:val="21"/>
        </w:rPr>
      </w:pPr>
      <w:r>
        <w:rPr>
          <w:rFonts w:hint="eastAsia" w:ascii="楷体" w:hAnsi="楷体" w:eastAsia="楷体" w:cs="楷体"/>
          <w:szCs w:val="21"/>
        </w:rPr>
        <w:t>财务部根据销售预算、生产预算、采购预算、薪酬预算以及重要费用（差旅费、招待费、销售费、办公费等）及税费对资金流的影响，综合考虑现有资金能力和融资能力，编制财务预算。</w:t>
      </w:r>
    </w:p>
    <w:p>
      <w:pPr>
        <w:numPr>
          <w:ilvl w:val="2"/>
          <w:numId w:val="9"/>
        </w:numPr>
        <w:tabs>
          <w:tab w:val="left" w:pos="284"/>
          <w:tab w:val="left" w:pos="709"/>
          <w:tab w:val="left" w:pos="851"/>
        </w:tabs>
        <w:spacing w:line="360" w:lineRule="auto"/>
        <w:ind w:left="1276"/>
        <w:rPr>
          <w:rFonts w:hint="eastAsia" w:ascii="楷体" w:hAnsi="楷体" w:eastAsia="楷体" w:cs="楷体"/>
          <w:szCs w:val="21"/>
        </w:rPr>
      </w:pPr>
      <w:r>
        <w:rPr>
          <w:rFonts w:hint="eastAsia" w:ascii="楷体" w:hAnsi="楷体" w:eastAsia="楷体" w:cs="楷体"/>
          <w:szCs w:val="21"/>
        </w:rPr>
        <w:t>财务预算主要以现金预算、预计资产负债表和预计损益表等形式反映。</w:t>
      </w:r>
    </w:p>
    <w:p>
      <w:pPr>
        <w:numPr>
          <w:ilvl w:val="2"/>
          <w:numId w:val="9"/>
        </w:numPr>
        <w:tabs>
          <w:tab w:val="left" w:pos="284"/>
          <w:tab w:val="left" w:pos="709"/>
          <w:tab w:val="left" w:pos="851"/>
        </w:tabs>
        <w:spacing w:line="360" w:lineRule="auto"/>
        <w:ind w:left="1276"/>
        <w:rPr>
          <w:rFonts w:hint="eastAsia" w:ascii="楷体" w:hAnsi="楷体" w:eastAsia="楷体" w:cs="楷体"/>
          <w:szCs w:val="21"/>
        </w:rPr>
      </w:pPr>
      <w:r>
        <w:rPr>
          <w:rFonts w:hint="eastAsia" w:ascii="楷体" w:hAnsi="楷体" w:eastAsia="楷体" w:cs="楷体"/>
          <w:szCs w:val="21"/>
        </w:rPr>
        <w:t>编制预算时，由经办人向子公司获取相关信息，对全公司的预算进行统筹管理。</w:t>
      </w:r>
    </w:p>
    <w:p>
      <w:pPr>
        <w:numPr>
          <w:ilvl w:val="2"/>
          <w:numId w:val="1"/>
        </w:numPr>
        <w:tabs>
          <w:tab w:val="left" w:pos="426"/>
        </w:tabs>
        <w:spacing w:line="360" w:lineRule="auto"/>
        <w:ind w:left="849" w:leftChars="67" w:hanging="709"/>
        <w:rPr>
          <w:rFonts w:hint="eastAsia" w:ascii="楷体" w:hAnsi="楷体" w:eastAsia="楷体" w:cs="楷体"/>
          <w:szCs w:val="21"/>
        </w:rPr>
      </w:pPr>
      <w:r>
        <w:rPr>
          <w:rFonts w:hint="eastAsia" w:ascii="楷体" w:hAnsi="楷体" w:eastAsia="楷体" w:cs="楷体"/>
          <w:szCs w:val="21"/>
        </w:rPr>
        <w:t>财务部经理汇总各业务部门提交的销售预算、生产和采购预算、薪酬预算，结合本部门编制的财务预算以及子公司的各项预算，汇总编制全公司的《年度预算方案》，经财务总监审核后，提交预算委员会审议。</w:t>
      </w:r>
    </w:p>
    <w:p>
      <w:pPr>
        <w:numPr>
          <w:ilvl w:val="2"/>
          <w:numId w:val="1"/>
        </w:numPr>
        <w:tabs>
          <w:tab w:val="left" w:pos="426"/>
        </w:tabs>
        <w:spacing w:line="360" w:lineRule="auto"/>
        <w:ind w:left="849" w:leftChars="67" w:hanging="709"/>
        <w:rPr>
          <w:rFonts w:hint="eastAsia" w:ascii="楷体" w:hAnsi="楷体" w:eastAsia="楷体" w:cs="楷体"/>
          <w:szCs w:val="21"/>
        </w:rPr>
      </w:pPr>
      <w:r>
        <w:rPr>
          <w:rFonts w:hint="eastAsia" w:ascii="楷体" w:hAnsi="楷体" w:eastAsia="楷体" w:cs="楷体"/>
          <w:szCs w:val="21"/>
        </w:rPr>
        <w:t>董事长召开总经理办公会，审议草案，根据预算目标提出整体修订意见，明确各部门执行预算的职责。行政专员记录会议内容，拟写成《总经理会议纪要》。</w:t>
      </w:r>
    </w:p>
    <w:p>
      <w:pPr>
        <w:numPr>
          <w:ilvl w:val="2"/>
          <w:numId w:val="1"/>
        </w:numPr>
        <w:tabs>
          <w:tab w:val="left" w:pos="426"/>
        </w:tabs>
        <w:spacing w:line="360" w:lineRule="auto"/>
        <w:ind w:left="849" w:leftChars="67" w:hanging="709"/>
        <w:rPr>
          <w:rFonts w:hint="eastAsia" w:ascii="楷体" w:hAnsi="楷体" w:eastAsia="楷体" w:cs="楷体"/>
          <w:szCs w:val="21"/>
        </w:rPr>
      </w:pPr>
      <w:r>
        <w:rPr>
          <w:rFonts w:hint="eastAsia" w:ascii="楷体" w:hAnsi="楷体" w:eastAsia="楷体" w:cs="楷体"/>
          <w:szCs w:val="21"/>
        </w:rPr>
        <w:t>预算管理委员会对《年度预算方案》进行审议，提出修订意见，并按照委员会议事规则审议通过后，形成董事会议案提交董事会审议。</w:t>
      </w:r>
    </w:p>
    <w:p>
      <w:pPr>
        <w:numPr>
          <w:ilvl w:val="2"/>
          <w:numId w:val="1"/>
        </w:numPr>
        <w:tabs>
          <w:tab w:val="left" w:pos="426"/>
        </w:tabs>
        <w:spacing w:line="360" w:lineRule="auto"/>
        <w:ind w:left="849" w:leftChars="67" w:hanging="709"/>
        <w:rPr>
          <w:rFonts w:hint="eastAsia" w:ascii="楷体" w:hAnsi="楷体" w:eastAsia="楷体" w:cs="楷体"/>
          <w:szCs w:val="21"/>
        </w:rPr>
      </w:pPr>
      <w:r>
        <w:rPr>
          <w:rFonts w:hint="eastAsia" w:ascii="楷体" w:hAnsi="楷体" w:eastAsia="楷体" w:cs="楷体"/>
          <w:szCs w:val="21"/>
        </w:rPr>
        <w:t>董事会审议《年度预算方案》，提出修订意见，并按照董事会议事规则审议通过后，形成董事会决议。</w:t>
      </w:r>
    </w:p>
    <w:p>
      <w:pPr>
        <w:numPr>
          <w:ilvl w:val="2"/>
          <w:numId w:val="1"/>
        </w:numPr>
        <w:tabs>
          <w:tab w:val="left" w:pos="426"/>
        </w:tabs>
        <w:spacing w:line="360" w:lineRule="auto"/>
        <w:ind w:left="849" w:leftChars="67" w:hanging="709"/>
        <w:rPr>
          <w:rFonts w:hint="eastAsia" w:ascii="楷体" w:hAnsi="楷体" w:eastAsia="楷体" w:cs="楷体"/>
          <w:szCs w:val="21"/>
        </w:rPr>
      </w:pPr>
      <w:r>
        <w:rPr>
          <w:rFonts w:hint="eastAsia" w:ascii="楷体" w:hAnsi="楷体" w:eastAsia="楷体" w:cs="楷体"/>
          <w:szCs w:val="21"/>
        </w:rPr>
        <w:t>《年度预算方案》经审批后，行政中心将年度预算文件以加盖公章的红头文件形式下达至各部门及子公司，使全面预算工作在全公司范围内推行。</w:t>
      </w:r>
    </w:p>
    <w:p>
      <w:pPr>
        <w:numPr>
          <w:ilvl w:val="1"/>
          <w:numId w:val="1"/>
        </w:numPr>
        <w:tabs>
          <w:tab w:val="left" w:pos="709"/>
        </w:tabs>
        <w:spacing w:line="360" w:lineRule="auto"/>
        <w:ind w:hanging="709"/>
        <w:rPr>
          <w:rFonts w:hint="eastAsia" w:ascii="楷体" w:hAnsi="楷体" w:eastAsia="楷体" w:cs="楷体"/>
          <w:szCs w:val="21"/>
        </w:rPr>
      </w:pPr>
      <w:r>
        <w:rPr>
          <w:rFonts w:hint="eastAsia" w:ascii="楷体" w:hAnsi="楷体" w:eastAsia="楷体" w:cs="楷体"/>
          <w:szCs w:val="21"/>
        </w:rPr>
        <w:t>预算执行与分析</w:t>
      </w:r>
    </w:p>
    <w:p>
      <w:pPr>
        <w:numPr>
          <w:ilvl w:val="2"/>
          <w:numId w:val="1"/>
        </w:numPr>
        <w:tabs>
          <w:tab w:val="left" w:pos="426"/>
        </w:tabs>
        <w:spacing w:line="360" w:lineRule="auto"/>
        <w:ind w:left="849" w:leftChars="67" w:hanging="709"/>
        <w:rPr>
          <w:rFonts w:hint="eastAsia" w:ascii="楷体" w:hAnsi="楷体" w:eastAsia="楷体" w:cs="楷体"/>
          <w:szCs w:val="21"/>
        </w:rPr>
      </w:pPr>
      <w:r>
        <w:rPr>
          <w:rFonts w:hint="eastAsia" w:ascii="楷体" w:hAnsi="楷体" w:eastAsia="楷体" w:cs="楷体"/>
          <w:szCs w:val="21"/>
        </w:rPr>
        <w:t>各业务部门和子公司按照销售预算、生产和采购预算、薪酬预算、财务预算的内容，切实完成预算目标。对预算执行中出现的异常情况，各业务部门应及时查明原因，提出解决办法，并上报财务部。</w:t>
      </w:r>
    </w:p>
    <w:p>
      <w:pPr>
        <w:numPr>
          <w:ilvl w:val="2"/>
          <w:numId w:val="1"/>
        </w:numPr>
        <w:tabs>
          <w:tab w:val="left" w:pos="426"/>
        </w:tabs>
        <w:spacing w:line="360" w:lineRule="auto"/>
        <w:ind w:left="849" w:leftChars="67" w:hanging="709"/>
        <w:rPr>
          <w:rFonts w:hint="eastAsia" w:ascii="楷体" w:hAnsi="楷体" w:eastAsia="楷体" w:cs="楷体"/>
          <w:szCs w:val="21"/>
        </w:rPr>
      </w:pPr>
      <w:r>
        <w:rPr>
          <w:rFonts w:hint="eastAsia" w:ascii="楷体" w:hAnsi="楷体" w:eastAsia="楷体" w:cs="楷体"/>
          <w:szCs w:val="21"/>
        </w:rPr>
        <w:t>财务部经办人每半年获取一次各业务部门和子公司的预算执行情况，汇总后交给财务部经理编制全公司的《预算执行差异结果》，财务总监审核后，传递至各业务部门。</w:t>
      </w:r>
    </w:p>
    <w:p>
      <w:pPr>
        <w:numPr>
          <w:ilvl w:val="2"/>
          <w:numId w:val="1"/>
        </w:numPr>
        <w:tabs>
          <w:tab w:val="left" w:pos="426"/>
        </w:tabs>
        <w:spacing w:line="360" w:lineRule="auto"/>
        <w:ind w:left="849" w:leftChars="67" w:hanging="709"/>
        <w:rPr>
          <w:rFonts w:hint="eastAsia" w:ascii="楷体" w:hAnsi="楷体" w:eastAsia="楷体" w:cs="楷体"/>
          <w:szCs w:val="21"/>
        </w:rPr>
      </w:pPr>
      <w:r>
        <w:rPr>
          <w:rFonts w:hint="eastAsia" w:ascii="楷体" w:hAnsi="楷体" w:eastAsia="楷体" w:cs="楷体"/>
          <w:szCs w:val="21"/>
        </w:rPr>
        <w:t>各预算执行部门负责人和子公司财务部负责人针对预算执行差异结果进行分析，列明差异原因并提出改善对策，同时反映预算执行过程中的困难和问题。</w:t>
      </w:r>
    </w:p>
    <w:p>
      <w:pPr>
        <w:numPr>
          <w:ilvl w:val="2"/>
          <w:numId w:val="1"/>
        </w:numPr>
        <w:tabs>
          <w:tab w:val="left" w:pos="426"/>
        </w:tabs>
        <w:spacing w:line="360" w:lineRule="auto"/>
        <w:ind w:left="849" w:leftChars="67" w:hanging="709"/>
        <w:rPr>
          <w:rFonts w:hint="eastAsia" w:ascii="楷体" w:hAnsi="楷体" w:eastAsia="楷体" w:cs="楷体"/>
          <w:szCs w:val="21"/>
        </w:rPr>
      </w:pPr>
      <w:r>
        <w:rPr>
          <w:rFonts w:hint="eastAsia" w:ascii="楷体" w:hAnsi="楷体" w:eastAsia="楷体" w:cs="楷体"/>
          <w:szCs w:val="21"/>
        </w:rPr>
        <w:t>财务部经理负责汇总整体预算分析结果，编制形成《预算分析报告》，提交给财务部总监、总经理、董事长审阅。</w:t>
      </w:r>
    </w:p>
    <w:p>
      <w:pPr>
        <w:numPr>
          <w:ilvl w:val="2"/>
          <w:numId w:val="1"/>
        </w:numPr>
        <w:tabs>
          <w:tab w:val="left" w:pos="426"/>
        </w:tabs>
        <w:spacing w:line="360" w:lineRule="auto"/>
        <w:ind w:left="849" w:leftChars="67" w:hanging="709"/>
        <w:rPr>
          <w:rFonts w:hint="eastAsia" w:ascii="楷体" w:hAnsi="楷体" w:eastAsia="楷体" w:cs="楷体"/>
          <w:szCs w:val="21"/>
        </w:rPr>
      </w:pPr>
      <w:r>
        <w:rPr>
          <w:rFonts w:hint="eastAsia" w:ascii="楷体" w:hAnsi="楷体" w:eastAsia="楷体" w:cs="楷体"/>
          <w:szCs w:val="21"/>
        </w:rPr>
        <w:t>董事长组织召开预算执行分析会议，研究、解决预算执行中存在的问题，认真分析原因，提出改进措施。行政专员记录会议内容，拟写成《总经理会议纪要》。</w:t>
      </w:r>
    </w:p>
    <w:p>
      <w:pPr>
        <w:numPr>
          <w:ilvl w:val="2"/>
          <w:numId w:val="1"/>
        </w:numPr>
        <w:tabs>
          <w:tab w:val="left" w:pos="426"/>
        </w:tabs>
        <w:spacing w:line="360" w:lineRule="auto"/>
        <w:ind w:left="849" w:leftChars="67" w:hanging="709"/>
        <w:rPr>
          <w:rFonts w:hint="eastAsia" w:ascii="楷体" w:hAnsi="楷体" w:eastAsia="楷体" w:cs="楷体"/>
          <w:szCs w:val="21"/>
        </w:rPr>
      </w:pPr>
      <w:r>
        <w:rPr>
          <w:rFonts w:hint="eastAsia" w:ascii="楷体" w:hAnsi="楷体" w:eastAsia="楷体" w:cs="楷体"/>
          <w:szCs w:val="21"/>
        </w:rPr>
        <w:t>公司将各部门预算工作是否达标列入部门负责人和子公司财务部负责人年终考核指标，切实落实全面预算管理工作的管控作用。</w:t>
      </w:r>
    </w:p>
    <w:p>
      <w:pPr>
        <w:numPr>
          <w:ilvl w:val="2"/>
          <w:numId w:val="1"/>
        </w:numPr>
        <w:tabs>
          <w:tab w:val="left" w:pos="426"/>
        </w:tabs>
        <w:spacing w:line="360" w:lineRule="auto"/>
        <w:ind w:left="849" w:leftChars="67" w:hanging="709"/>
        <w:rPr>
          <w:rFonts w:hint="eastAsia" w:ascii="楷体" w:hAnsi="楷体" w:eastAsia="楷体" w:cs="楷体"/>
          <w:szCs w:val="21"/>
        </w:rPr>
      </w:pPr>
      <w:r>
        <w:rPr>
          <w:rFonts w:hint="eastAsia" w:ascii="楷体" w:hAnsi="楷体" w:eastAsia="楷体" w:cs="楷体"/>
          <w:szCs w:val="21"/>
        </w:rPr>
        <w:t>预算考核主要评估预算工作完成量和质量，以及测算超预算支出占预算比例。相关的考核工作流程列入年度考核中，按照《人力资源考勤及薪酬管理制度》的相关规定执行。</w:t>
      </w:r>
    </w:p>
    <w:p>
      <w:pPr>
        <w:tabs>
          <w:tab w:val="left" w:pos="284"/>
          <w:tab w:val="left" w:pos="709"/>
        </w:tabs>
        <w:spacing w:line="360" w:lineRule="auto"/>
        <w:ind w:left="1560"/>
        <w:rPr>
          <w:rFonts w:hint="eastAsia" w:ascii="楷体" w:hAnsi="楷体" w:eastAsia="楷体" w:cs="楷体"/>
          <w:szCs w:val="21"/>
        </w:rPr>
      </w:pPr>
    </w:p>
    <w:p>
      <w:pPr>
        <w:numPr>
          <w:ilvl w:val="1"/>
          <w:numId w:val="1"/>
        </w:numPr>
        <w:tabs>
          <w:tab w:val="left" w:pos="709"/>
        </w:tabs>
        <w:spacing w:line="360" w:lineRule="auto"/>
        <w:ind w:hanging="709"/>
        <w:rPr>
          <w:rFonts w:hint="eastAsia" w:ascii="楷体" w:hAnsi="楷体" w:eastAsia="楷体" w:cs="楷体"/>
          <w:szCs w:val="21"/>
        </w:rPr>
      </w:pPr>
      <w:r>
        <w:rPr>
          <w:rFonts w:hint="eastAsia" w:ascii="楷体" w:hAnsi="楷体" w:eastAsia="楷体" w:cs="楷体"/>
          <w:szCs w:val="21"/>
        </w:rPr>
        <w:t>预算调整与审批</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公司正式下达执行的年度预算，一般不予调整。当一项或几项因素向着劣势方向变化，影响目标利润的实现时，应首先挖掘与目标利润相关的其它因素的潜力，或采取其他措施来弥补不利因素造成的影响。。</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只有在无法弥补的情况下，如：在预算执行中由于市场环境、经营条件、政策法规等发生重大变化，致使预算的编制基础不成立，或者将导致预算执行结果产生重大偏差的，可以调整预算，一般每年只调整一次预算。</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 xml:space="preserve">预算调整的原则： </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 xml:space="preserve">预算调整方案不能偏离企业发展战略和年度预算目标； </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 xml:space="preserve">预算调整方案能够在经济上实现最优化； </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预算调整方案应重点关注导致预算调整的重大事项。</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需要调整预算的部门，部门负责人向财务部提出书面报告，阐述预算执行的具体情况、客观因素变化情况及其对预算执行造成的影响程度，提出预算的调整幅度。</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财务部对各预算单位的预算调整方案进行审核分析，汇总编制《年度预算调整方案》，提交给董事长审阅。</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董事长召开总经理办公会，审议《年度预算调整方案》。行政专员记录会议内容，拟写成《总经理会议纪要》。</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预算管理委员会对《年度预算调整方案》进行审议，提出修订意见，并按照委员会议事规则审议通过后，形成董事会议案提交董事会审议。</w:t>
      </w:r>
    </w:p>
    <w:p>
      <w:pPr>
        <w:numPr>
          <w:ilvl w:val="2"/>
          <w:numId w:val="1"/>
        </w:numPr>
        <w:tabs>
          <w:tab w:val="left" w:pos="426"/>
        </w:tabs>
        <w:spacing w:line="360" w:lineRule="auto"/>
        <w:ind w:left="706" w:leftChars="66" w:hanging="568"/>
        <w:rPr>
          <w:rFonts w:hint="eastAsia" w:ascii="楷体" w:hAnsi="楷体" w:eastAsia="楷体" w:cs="楷体"/>
          <w:szCs w:val="21"/>
        </w:rPr>
      </w:pPr>
      <w:r>
        <w:rPr>
          <w:rFonts w:hint="eastAsia" w:ascii="楷体" w:hAnsi="楷体" w:eastAsia="楷体" w:cs="楷体"/>
          <w:szCs w:val="21"/>
        </w:rPr>
        <w:t xml:space="preserve">董事会审议《年度预算调整方案》，提出修订意见，并按照董事会议事规则审议通过后，形成董事会决议，下发公司内部各级部门和子公司。 </w:t>
      </w:r>
    </w:p>
    <w:p>
      <w:pPr>
        <w:spacing w:line="360" w:lineRule="auto"/>
        <w:rPr>
          <w:rFonts w:hint="eastAsia" w:ascii="楷体" w:hAnsi="楷体" w:eastAsia="楷体" w:cs="楷体"/>
          <w:szCs w:val="21"/>
        </w:rPr>
      </w:pPr>
    </w:p>
    <w:p>
      <w:pPr>
        <w:numPr>
          <w:ilvl w:val="0"/>
          <w:numId w:val="1"/>
        </w:numPr>
        <w:spacing w:line="360" w:lineRule="auto"/>
        <w:rPr>
          <w:rFonts w:hint="eastAsia" w:ascii="楷体" w:hAnsi="楷体" w:eastAsia="楷体" w:cs="楷体"/>
          <w:b/>
          <w:color w:val="000000"/>
          <w:szCs w:val="21"/>
        </w:rPr>
      </w:pPr>
      <w:r>
        <w:rPr>
          <w:rFonts w:hint="eastAsia" w:ascii="楷体" w:hAnsi="楷体" w:eastAsia="楷体" w:cs="楷体"/>
          <w:b/>
          <w:color w:val="000000"/>
          <w:szCs w:val="21"/>
        </w:rPr>
        <w:t>监督及检查</w:t>
      </w:r>
    </w:p>
    <w:p>
      <w:pPr>
        <w:numPr>
          <w:ilvl w:val="1"/>
          <w:numId w:val="1"/>
        </w:numPr>
        <w:tabs>
          <w:tab w:val="left" w:pos="709"/>
        </w:tabs>
        <w:spacing w:line="360" w:lineRule="auto"/>
        <w:ind w:hanging="709"/>
        <w:rPr>
          <w:rFonts w:hint="eastAsia" w:ascii="楷体" w:hAnsi="楷体" w:eastAsia="楷体" w:cs="楷体"/>
          <w:szCs w:val="21"/>
        </w:rPr>
      </w:pPr>
      <w:r>
        <w:rPr>
          <w:rFonts w:hint="eastAsia" w:ascii="楷体" w:hAnsi="楷体" w:eastAsia="楷体" w:cs="楷体"/>
          <w:szCs w:val="21"/>
        </w:rPr>
        <w:t>本制度经审批并实施的当日起，未按本制度要求进行各项工作，出现5.2款所述情形的，根据造成的影响及损失分别采取以下处理措施：</w:t>
      </w:r>
    </w:p>
    <w:p>
      <w:pPr>
        <w:numPr>
          <w:ilvl w:val="2"/>
          <w:numId w:val="1"/>
        </w:numPr>
        <w:tabs>
          <w:tab w:val="left" w:pos="426"/>
          <w:tab w:val="left" w:pos="709"/>
          <w:tab w:val="left" w:pos="851"/>
        </w:tabs>
        <w:spacing w:line="360" w:lineRule="auto"/>
        <w:ind w:left="709" w:hanging="709"/>
        <w:rPr>
          <w:rFonts w:hint="eastAsia" w:ascii="楷体" w:hAnsi="楷体" w:eastAsia="楷体" w:cs="楷体"/>
          <w:szCs w:val="21"/>
        </w:rPr>
      </w:pPr>
      <w:r>
        <w:rPr>
          <w:rFonts w:hint="eastAsia" w:ascii="楷体" w:hAnsi="楷体" w:eastAsia="楷体" w:cs="楷体"/>
          <w:szCs w:val="21"/>
        </w:rPr>
        <w:t>造成公司重大损失以及构成违法行为的，由公司向司法机关提起诉讼，追究其法律责任，由其承担经济损失；</w:t>
      </w:r>
    </w:p>
    <w:p>
      <w:pPr>
        <w:numPr>
          <w:ilvl w:val="2"/>
          <w:numId w:val="1"/>
        </w:numPr>
        <w:tabs>
          <w:tab w:val="left" w:pos="426"/>
          <w:tab w:val="left" w:pos="709"/>
          <w:tab w:val="left" w:pos="851"/>
        </w:tabs>
        <w:spacing w:line="360" w:lineRule="auto"/>
        <w:ind w:left="709" w:hanging="709"/>
        <w:rPr>
          <w:rFonts w:hint="eastAsia" w:ascii="楷体" w:hAnsi="楷体" w:eastAsia="楷体" w:cs="楷体"/>
          <w:szCs w:val="21"/>
        </w:rPr>
      </w:pPr>
      <w:r>
        <w:rPr>
          <w:rFonts w:hint="eastAsia" w:ascii="楷体" w:hAnsi="楷体" w:eastAsia="楷体" w:cs="楷体"/>
          <w:szCs w:val="21"/>
        </w:rPr>
        <w:t>对公司造成损失但不构成违法的，由责任人承担经济损失，并列入当期绩效考核；</w:t>
      </w:r>
    </w:p>
    <w:p>
      <w:pPr>
        <w:numPr>
          <w:ilvl w:val="2"/>
          <w:numId w:val="1"/>
        </w:numPr>
        <w:tabs>
          <w:tab w:val="left" w:pos="426"/>
          <w:tab w:val="left" w:pos="709"/>
          <w:tab w:val="left" w:pos="851"/>
        </w:tabs>
        <w:spacing w:line="360" w:lineRule="auto"/>
        <w:ind w:left="709" w:hanging="709"/>
        <w:rPr>
          <w:rFonts w:hint="eastAsia" w:ascii="楷体" w:hAnsi="楷体" w:eastAsia="楷体" w:cs="楷体"/>
          <w:szCs w:val="21"/>
        </w:rPr>
      </w:pPr>
      <w:r>
        <w:rPr>
          <w:rFonts w:hint="eastAsia" w:ascii="楷体" w:hAnsi="楷体" w:eastAsia="楷体" w:cs="楷体"/>
          <w:szCs w:val="21"/>
        </w:rPr>
        <w:t>未做成损失且未构成违法的，列入当期绩效考核。</w:t>
      </w:r>
    </w:p>
    <w:p>
      <w:pPr>
        <w:numPr>
          <w:ilvl w:val="1"/>
          <w:numId w:val="1"/>
        </w:numPr>
        <w:tabs>
          <w:tab w:val="left" w:pos="709"/>
        </w:tabs>
        <w:spacing w:line="360" w:lineRule="auto"/>
        <w:ind w:hanging="709"/>
        <w:rPr>
          <w:rFonts w:hint="eastAsia" w:ascii="楷体" w:hAnsi="楷体" w:eastAsia="楷体" w:cs="楷体"/>
          <w:szCs w:val="21"/>
        </w:rPr>
      </w:pPr>
      <w:r>
        <w:rPr>
          <w:rFonts w:hint="eastAsia" w:ascii="楷体" w:hAnsi="楷体" w:eastAsia="楷体" w:cs="楷体"/>
          <w:szCs w:val="21"/>
        </w:rPr>
        <w:t>违规情形包括：</w:t>
      </w:r>
    </w:p>
    <w:p>
      <w:pPr>
        <w:numPr>
          <w:ilvl w:val="2"/>
          <w:numId w:val="1"/>
        </w:numPr>
        <w:tabs>
          <w:tab w:val="left" w:pos="426"/>
          <w:tab w:val="left" w:pos="709"/>
          <w:tab w:val="left" w:pos="851"/>
        </w:tabs>
        <w:spacing w:line="360" w:lineRule="auto"/>
        <w:ind w:left="709" w:hanging="709"/>
        <w:rPr>
          <w:rFonts w:hint="eastAsia" w:ascii="楷体" w:hAnsi="楷体" w:eastAsia="楷体" w:cs="楷体"/>
          <w:szCs w:val="21"/>
        </w:rPr>
      </w:pPr>
      <w:r>
        <w:rPr>
          <w:rFonts w:hint="eastAsia" w:ascii="楷体" w:hAnsi="楷体" w:eastAsia="楷体" w:cs="楷体"/>
          <w:szCs w:val="21"/>
        </w:rPr>
        <w:t>工作渎职造成公司损失或影响公司正常运作的；</w:t>
      </w:r>
    </w:p>
    <w:p>
      <w:pPr>
        <w:numPr>
          <w:ilvl w:val="2"/>
          <w:numId w:val="1"/>
        </w:numPr>
        <w:tabs>
          <w:tab w:val="left" w:pos="426"/>
          <w:tab w:val="left" w:pos="709"/>
          <w:tab w:val="left" w:pos="851"/>
        </w:tabs>
        <w:spacing w:line="360" w:lineRule="auto"/>
        <w:ind w:left="709" w:hanging="709"/>
        <w:rPr>
          <w:rFonts w:hint="eastAsia" w:ascii="楷体" w:hAnsi="楷体" w:eastAsia="楷体" w:cs="楷体"/>
          <w:szCs w:val="21"/>
        </w:rPr>
      </w:pPr>
      <w:r>
        <w:rPr>
          <w:rFonts w:hint="eastAsia" w:ascii="楷体" w:hAnsi="楷体" w:eastAsia="楷体" w:cs="楷体"/>
          <w:szCs w:val="21"/>
        </w:rPr>
        <w:t>未及时编制预算并提交审核的；</w:t>
      </w:r>
    </w:p>
    <w:p>
      <w:pPr>
        <w:numPr>
          <w:ilvl w:val="2"/>
          <w:numId w:val="1"/>
        </w:numPr>
        <w:tabs>
          <w:tab w:val="left" w:pos="426"/>
          <w:tab w:val="left" w:pos="709"/>
          <w:tab w:val="left" w:pos="851"/>
        </w:tabs>
        <w:spacing w:line="360" w:lineRule="auto"/>
        <w:ind w:left="709" w:hanging="709"/>
        <w:rPr>
          <w:rFonts w:hint="eastAsia" w:ascii="楷体" w:hAnsi="楷体" w:eastAsia="楷体" w:cs="楷体"/>
          <w:szCs w:val="21"/>
        </w:rPr>
      </w:pPr>
      <w:r>
        <w:rPr>
          <w:rFonts w:hint="eastAsia" w:ascii="楷体" w:hAnsi="楷体" w:eastAsia="楷体" w:cs="楷体"/>
          <w:szCs w:val="21"/>
        </w:rPr>
        <w:t>不按预算执行工作的；</w:t>
      </w:r>
    </w:p>
    <w:p>
      <w:pPr>
        <w:numPr>
          <w:ilvl w:val="2"/>
          <w:numId w:val="1"/>
        </w:numPr>
        <w:tabs>
          <w:tab w:val="left" w:pos="426"/>
          <w:tab w:val="left" w:pos="709"/>
          <w:tab w:val="left" w:pos="851"/>
        </w:tabs>
        <w:spacing w:line="360" w:lineRule="auto"/>
        <w:ind w:left="709" w:hanging="709"/>
        <w:rPr>
          <w:rFonts w:hint="eastAsia" w:ascii="楷体" w:hAnsi="楷体" w:eastAsia="楷体" w:cs="楷体"/>
          <w:szCs w:val="21"/>
        </w:rPr>
      </w:pPr>
      <w:r>
        <w:rPr>
          <w:rFonts w:hint="eastAsia" w:ascii="楷体" w:hAnsi="楷体" w:eastAsia="楷体" w:cs="楷体"/>
          <w:szCs w:val="21"/>
        </w:rPr>
        <w:t>未执行预算监督与分析的；</w:t>
      </w:r>
    </w:p>
    <w:p>
      <w:pPr>
        <w:numPr>
          <w:ilvl w:val="2"/>
          <w:numId w:val="1"/>
        </w:numPr>
        <w:tabs>
          <w:tab w:val="left" w:pos="426"/>
          <w:tab w:val="left" w:pos="709"/>
          <w:tab w:val="left" w:pos="851"/>
        </w:tabs>
        <w:spacing w:line="360" w:lineRule="auto"/>
        <w:ind w:left="709" w:hanging="709"/>
        <w:rPr>
          <w:rFonts w:hint="eastAsia" w:ascii="楷体" w:hAnsi="楷体" w:eastAsia="楷体" w:cs="楷体"/>
          <w:szCs w:val="21"/>
        </w:rPr>
      </w:pPr>
      <w:r>
        <w:rPr>
          <w:rFonts w:hint="eastAsia" w:ascii="楷体" w:hAnsi="楷体" w:eastAsia="楷体" w:cs="楷体"/>
          <w:szCs w:val="21"/>
        </w:rPr>
        <w:t xml:space="preserve">预算外事项未按规定审批的； </w:t>
      </w:r>
    </w:p>
    <w:p>
      <w:pPr>
        <w:numPr>
          <w:ilvl w:val="1"/>
          <w:numId w:val="1"/>
        </w:numPr>
        <w:rPr>
          <w:rFonts w:hint="eastAsia" w:ascii="楷体" w:hAnsi="楷体" w:eastAsia="楷体" w:cs="楷体"/>
          <w:szCs w:val="21"/>
        </w:rPr>
      </w:pPr>
      <w:r>
        <w:rPr>
          <w:rFonts w:hint="eastAsia" w:ascii="楷体" w:hAnsi="楷体" w:eastAsia="楷体" w:cs="楷体"/>
          <w:szCs w:val="21"/>
        </w:rPr>
        <w:t>其他影响企业正常运营或违反公司相关规定的情形。</w:t>
      </w:r>
    </w:p>
    <w:p>
      <w:pPr>
        <w:spacing w:line="360" w:lineRule="auto"/>
        <w:ind w:left="425"/>
        <w:rPr>
          <w:rFonts w:hint="eastAsia" w:ascii="楷体" w:hAnsi="楷体" w:eastAsia="楷体" w:cs="楷体"/>
          <w:b/>
          <w:szCs w:val="21"/>
        </w:rPr>
      </w:pPr>
    </w:p>
    <w:p>
      <w:pPr>
        <w:numPr>
          <w:ilvl w:val="0"/>
          <w:numId w:val="1"/>
        </w:numPr>
        <w:spacing w:line="360" w:lineRule="auto"/>
        <w:rPr>
          <w:rFonts w:hint="eastAsia" w:ascii="楷体" w:hAnsi="楷体" w:eastAsia="楷体" w:cs="楷体"/>
          <w:b/>
          <w:szCs w:val="21"/>
        </w:rPr>
      </w:pPr>
      <w:r>
        <w:rPr>
          <w:rFonts w:hint="eastAsia" w:ascii="楷体" w:hAnsi="楷体" w:eastAsia="楷体" w:cs="楷体"/>
          <w:b/>
          <w:szCs w:val="21"/>
        </w:rPr>
        <w:t>附则</w:t>
      </w:r>
    </w:p>
    <w:p>
      <w:pPr>
        <w:numPr>
          <w:ilvl w:val="1"/>
          <w:numId w:val="1"/>
        </w:numPr>
        <w:spacing w:line="360" w:lineRule="auto"/>
        <w:ind w:left="426" w:hanging="426"/>
        <w:rPr>
          <w:rFonts w:hint="eastAsia" w:ascii="楷体" w:hAnsi="楷体" w:eastAsia="楷体" w:cs="楷体"/>
          <w:szCs w:val="21"/>
        </w:rPr>
      </w:pPr>
      <w:r>
        <w:rPr>
          <w:rFonts w:hint="eastAsia" w:ascii="楷体" w:hAnsi="楷体" w:eastAsia="楷体" w:cs="楷体"/>
          <w:szCs w:val="21"/>
        </w:rPr>
        <w:t>本制度未尽事宜参照国家法律法规以及本公司相关规定执行。</w:t>
      </w:r>
    </w:p>
    <w:p>
      <w:pPr>
        <w:numPr>
          <w:ilvl w:val="1"/>
          <w:numId w:val="1"/>
        </w:numPr>
        <w:spacing w:line="360" w:lineRule="auto"/>
        <w:ind w:left="426" w:hanging="426"/>
        <w:rPr>
          <w:rFonts w:hint="eastAsia" w:ascii="楷体" w:hAnsi="楷体" w:eastAsia="楷体" w:cs="楷体"/>
          <w:szCs w:val="21"/>
        </w:rPr>
      </w:pPr>
      <w:r>
        <w:rPr>
          <w:rFonts w:hint="eastAsia" w:ascii="楷体" w:hAnsi="楷体" w:eastAsia="楷体" w:cs="楷体"/>
          <w:szCs w:val="21"/>
        </w:rPr>
        <w:t>本制度由财务部负责制定和解释。</w:t>
      </w:r>
    </w:p>
    <w:p>
      <w:pPr>
        <w:numPr>
          <w:ilvl w:val="1"/>
          <w:numId w:val="1"/>
        </w:numPr>
        <w:spacing w:line="360" w:lineRule="auto"/>
        <w:ind w:left="426" w:hanging="426"/>
        <w:rPr>
          <w:rFonts w:hint="eastAsia" w:ascii="楷体" w:hAnsi="楷体" w:eastAsia="楷体" w:cs="楷体"/>
          <w:szCs w:val="21"/>
        </w:rPr>
      </w:pPr>
      <w:r>
        <w:rPr>
          <w:rFonts w:hint="eastAsia" w:ascii="楷体" w:hAnsi="楷体" w:eastAsia="楷体" w:cs="楷体"/>
          <w:szCs w:val="21"/>
        </w:rPr>
        <w:t>本制度由董事长审批后，自发布之日起生效。</w:t>
      </w:r>
    </w:p>
    <w:p>
      <w:pPr>
        <w:spacing w:line="360" w:lineRule="auto"/>
        <w:rPr>
          <w:rFonts w:hint="eastAsia" w:ascii="楷体" w:hAnsi="楷体" w:eastAsia="楷体" w:cs="楷体"/>
          <w:szCs w:val="21"/>
        </w:rPr>
      </w:pPr>
    </w:p>
    <w:p>
      <w:pPr>
        <w:spacing w:line="360" w:lineRule="auto"/>
        <w:ind w:left="426"/>
        <w:rPr>
          <w:rFonts w:hint="eastAsia" w:ascii="楷体" w:hAnsi="楷体" w:eastAsia="楷体" w:cs="楷体"/>
          <w:szCs w:val="21"/>
        </w:rPr>
      </w:pPr>
    </w:p>
    <w:p>
      <w:pPr>
        <w:spacing w:line="360" w:lineRule="auto"/>
        <w:ind w:left="426"/>
        <w:rPr>
          <w:rFonts w:hint="eastAsia" w:ascii="楷体" w:hAnsi="楷体" w:eastAsia="楷体" w:cs="楷体"/>
          <w:szCs w:val="21"/>
        </w:rPr>
      </w:pPr>
    </w:p>
    <w:sectPr>
      <w:type w:val="continuous"/>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幼圆">
    <w:altName w:val="华文宋体"/>
    <w:panose1 w:val="02010509060101010101"/>
    <w:charset w:val="86"/>
    <w:family w:val="modern"/>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0" w:rightFromText="180" w:vertAnchor="text" w:horzAnchor="page" w:tblpX="1347" w:tblpY="1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84"/>
      <w:gridCol w:w="4444"/>
      <w:gridCol w:w="1980"/>
      <w:gridCol w:w="11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426" w:hRule="atLeast"/>
        <w:jc w:val="center"/>
      </w:trPr>
      <w:tc>
        <w:tcPr>
          <w:tcW w:w="1784" w:type="dxa"/>
          <w:vMerge w:val="restart"/>
          <w:noWrap w:val="0"/>
          <w:vAlign w:val="center"/>
        </w:tcPr>
        <w:p>
          <w:pPr>
            <w:jc w:val="left"/>
            <w:rPr>
              <w:rFonts w:hint="eastAsia" w:ascii="楷体" w:hAnsi="楷体" w:eastAsia="楷体" w:cs="楷体"/>
            </w:rPr>
          </w:pPr>
        </w:p>
        <w:p>
          <w:pPr>
            <w:jc w:val="left"/>
            <w:rPr>
              <w:rFonts w:hint="eastAsia" w:ascii="楷体" w:hAnsi="楷体" w:eastAsia="楷体" w:cs="楷体"/>
            </w:rPr>
          </w:pPr>
        </w:p>
      </w:tc>
      <w:tc>
        <w:tcPr>
          <w:tcW w:w="4444" w:type="dxa"/>
          <w:vMerge w:val="restart"/>
          <w:noWrap w:val="0"/>
          <w:vAlign w:val="center"/>
        </w:tcPr>
        <w:p>
          <w:pPr>
            <w:spacing w:line="380" w:lineRule="exact"/>
            <w:jc w:val="center"/>
            <w:rPr>
              <w:rFonts w:hint="eastAsia" w:ascii="楷体" w:hAnsi="楷体" w:eastAsia="楷体" w:cs="楷体"/>
              <w:b/>
              <w:sz w:val="24"/>
            </w:rPr>
          </w:pPr>
          <w:r>
            <w:rPr>
              <w:rFonts w:hint="eastAsia" w:ascii="楷体" w:hAnsi="楷体" w:eastAsia="楷体" w:cs="楷体"/>
              <w:b/>
              <w:sz w:val="24"/>
              <w:lang w:eastAsia="zh-CN"/>
            </w:rPr>
            <w:t>XX</w:t>
          </w:r>
          <w:r>
            <w:rPr>
              <w:rFonts w:hint="eastAsia" w:ascii="楷体" w:hAnsi="楷体" w:eastAsia="楷体" w:cs="楷体"/>
              <w:b/>
              <w:sz w:val="24"/>
            </w:rPr>
            <w:t>新能源科技股份有限公司</w:t>
          </w:r>
        </w:p>
        <w:p>
          <w:pPr>
            <w:jc w:val="center"/>
            <w:rPr>
              <w:rFonts w:hint="eastAsia" w:ascii="楷体" w:hAnsi="楷体" w:eastAsia="楷体" w:cs="楷体"/>
              <w:szCs w:val="21"/>
            </w:rPr>
          </w:pPr>
          <w:r>
            <w:rPr>
              <w:rFonts w:hint="eastAsia" w:ascii="楷体" w:hAnsi="楷体" w:eastAsia="楷体" w:cs="楷体"/>
              <w:b/>
              <w:sz w:val="24"/>
            </w:rPr>
            <w:t>全面预算管理制度</w:t>
          </w:r>
        </w:p>
      </w:tc>
      <w:tc>
        <w:tcPr>
          <w:tcW w:w="1980" w:type="dxa"/>
          <w:noWrap w:val="0"/>
          <w:vAlign w:val="center"/>
        </w:tcPr>
        <w:p>
          <w:pPr>
            <w:jc w:val="center"/>
            <w:rPr>
              <w:rFonts w:hint="eastAsia" w:ascii="楷体" w:hAnsi="楷体" w:eastAsia="楷体" w:cs="楷体"/>
              <w:b/>
              <w:szCs w:val="21"/>
            </w:rPr>
          </w:pPr>
          <w:r>
            <w:rPr>
              <w:rFonts w:hint="eastAsia" w:ascii="楷体" w:hAnsi="楷体" w:eastAsia="楷体" w:cs="楷体"/>
              <w:b/>
              <w:spacing w:val="10"/>
              <w:szCs w:val="21"/>
            </w:rPr>
            <w:t>文件编号</w:t>
          </w:r>
        </w:p>
      </w:tc>
      <w:tc>
        <w:tcPr>
          <w:tcW w:w="1166" w:type="dxa"/>
          <w:noWrap w:val="0"/>
          <w:vAlign w:val="center"/>
        </w:tcPr>
        <w:p>
          <w:pPr>
            <w:jc w:val="center"/>
            <w:rPr>
              <w:rFonts w:hint="eastAsia" w:ascii="楷体" w:hAnsi="楷体" w:eastAsia="楷体" w:cs="楷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426" w:hRule="atLeast"/>
        <w:jc w:val="center"/>
      </w:trPr>
      <w:tc>
        <w:tcPr>
          <w:tcW w:w="1784" w:type="dxa"/>
          <w:vMerge w:val="continue"/>
          <w:noWrap w:val="0"/>
          <w:vAlign w:val="top"/>
        </w:tcPr>
        <w:p>
          <w:pPr>
            <w:rPr>
              <w:rFonts w:hint="eastAsia" w:ascii="楷体" w:hAnsi="楷体" w:eastAsia="楷体" w:cs="楷体"/>
            </w:rPr>
          </w:pPr>
        </w:p>
      </w:tc>
      <w:tc>
        <w:tcPr>
          <w:tcW w:w="4444" w:type="dxa"/>
          <w:vMerge w:val="continue"/>
          <w:noWrap w:val="0"/>
          <w:vAlign w:val="top"/>
        </w:tcPr>
        <w:p>
          <w:pPr>
            <w:rPr>
              <w:rFonts w:hint="eastAsia" w:ascii="楷体" w:hAnsi="楷体" w:eastAsia="楷体" w:cs="楷体"/>
              <w:szCs w:val="21"/>
            </w:rPr>
          </w:pPr>
        </w:p>
      </w:tc>
      <w:tc>
        <w:tcPr>
          <w:tcW w:w="1980" w:type="dxa"/>
          <w:noWrap w:val="0"/>
          <w:vAlign w:val="center"/>
        </w:tcPr>
        <w:p>
          <w:pPr>
            <w:jc w:val="center"/>
            <w:rPr>
              <w:rFonts w:hint="eastAsia" w:ascii="楷体" w:hAnsi="楷体" w:eastAsia="楷体" w:cs="楷体"/>
              <w:b/>
              <w:szCs w:val="21"/>
            </w:rPr>
          </w:pPr>
          <w:r>
            <w:rPr>
              <w:rFonts w:hint="eastAsia" w:ascii="楷体" w:hAnsi="楷体" w:eastAsia="楷体" w:cs="楷体"/>
              <w:b/>
              <w:szCs w:val="21"/>
            </w:rPr>
            <w:t>版本/版次</w:t>
          </w:r>
        </w:p>
      </w:tc>
      <w:tc>
        <w:tcPr>
          <w:tcW w:w="1166" w:type="dxa"/>
          <w:noWrap w:val="0"/>
          <w:vAlign w:val="center"/>
        </w:tcPr>
        <w:p>
          <w:pPr>
            <w:jc w:val="center"/>
            <w:rPr>
              <w:rFonts w:hint="eastAsia" w:ascii="楷体" w:hAnsi="楷体" w:eastAsia="楷体" w:cs="楷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426" w:hRule="atLeast"/>
        <w:jc w:val="center"/>
      </w:trPr>
      <w:tc>
        <w:tcPr>
          <w:tcW w:w="1784" w:type="dxa"/>
          <w:vMerge w:val="continue"/>
          <w:noWrap w:val="0"/>
          <w:vAlign w:val="top"/>
        </w:tcPr>
        <w:p>
          <w:pPr>
            <w:rPr>
              <w:rFonts w:hint="eastAsia" w:ascii="楷体" w:hAnsi="楷体" w:eastAsia="楷体" w:cs="楷体"/>
            </w:rPr>
          </w:pPr>
        </w:p>
      </w:tc>
      <w:tc>
        <w:tcPr>
          <w:tcW w:w="4444" w:type="dxa"/>
          <w:vMerge w:val="continue"/>
          <w:noWrap w:val="0"/>
          <w:vAlign w:val="top"/>
        </w:tcPr>
        <w:p>
          <w:pPr>
            <w:rPr>
              <w:rFonts w:hint="eastAsia" w:ascii="楷体" w:hAnsi="楷体" w:eastAsia="楷体" w:cs="楷体"/>
              <w:szCs w:val="21"/>
            </w:rPr>
          </w:pPr>
        </w:p>
      </w:tc>
      <w:tc>
        <w:tcPr>
          <w:tcW w:w="1980" w:type="dxa"/>
          <w:noWrap w:val="0"/>
          <w:vAlign w:val="center"/>
        </w:tcPr>
        <w:p>
          <w:pPr>
            <w:jc w:val="center"/>
            <w:rPr>
              <w:rFonts w:hint="eastAsia" w:ascii="楷体" w:hAnsi="楷体" w:eastAsia="楷体" w:cs="楷体"/>
              <w:b/>
              <w:szCs w:val="21"/>
            </w:rPr>
          </w:pPr>
          <w:r>
            <w:rPr>
              <w:rFonts w:hint="eastAsia" w:ascii="楷体" w:hAnsi="楷体" w:eastAsia="楷体" w:cs="楷体"/>
              <w:b/>
              <w:szCs w:val="21"/>
            </w:rPr>
            <w:t>页次/总页</w:t>
          </w:r>
        </w:p>
      </w:tc>
      <w:tc>
        <w:tcPr>
          <w:tcW w:w="1166" w:type="dxa"/>
          <w:noWrap w:val="0"/>
          <w:vAlign w:val="center"/>
        </w:tcPr>
        <w:p>
          <w:pPr>
            <w:jc w:val="center"/>
            <w:rPr>
              <w:rFonts w:hint="eastAsia" w:ascii="楷体" w:hAnsi="楷体" w:eastAsia="楷体" w:cs="楷体"/>
              <w:b/>
              <w:szCs w:val="21"/>
            </w:rPr>
          </w:pPr>
          <w:r>
            <w:rPr>
              <w:rFonts w:hint="eastAsia" w:ascii="楷体" w:hAnsi="楷体" w:eastAsia="楷体" w:cs="楷体"/>
              <w:b/>
              <w:szCs w:val="21"/>
            </w:rPr>
            <w:fldChar w:fldCharType="begin"/>
          </w:r>
          <w:r>
            <w:rPr>
              <w:rFonts w:hint="eastAsia" w:ascii="楷体" w:hAnsi="楷体" w:eastAsia="楷体" w:cs="楷体"/>
              <w:b/>
              <w:szCs w:val="21"/>
            </w:rPr>
            <w:instrText xml:space="preserve">PAGE   \* MERGEFORMAT</w:instrText>
          </w:r>
          <w:r>
            <w:rPr>
              <w:rFonts w:hint="eastAsia" w:ascii="楷体" w:hAnsi="楷体" w:eastAsia="楷体" w:cs="楷体"/>
              <w:b/>
              <w:szCs w:val="21"/>
            </w:rPr>
            <w:fldChar w:fldCharType="separate"/>
          </w:r>
          <w:r>
            <w:rPr>
              <w:rFonts w:hint="eastAsia" w:ascii="楷体" w:hAnsi="楷体" w:eastAsia="楷体" w:cs="楷体"/>
              <w:b/>
              <w:szCs w:val="21"/>
              <w:lang w:val="zh-CN"/>
            </w:rPr>
            <w:t>1</w:t>
          </w:r>
          <w:r>
            <w:rPr>
              <w:rFonts w:hint="eastAsia" w:ascii="楷体" w:hAnsi="楷体" w:eastAsia="楷体" w:cs="楷体"/>
              <w:b/>
              <w:szCs w:val="21"/>
            </w:rPr>
            <w:fldChar w:fldCharType="end"/>
          </w:r>
          <w:r>
            <w:rPr>
              <w:rFonts w:hint="eastAsia" w:ascii="楷体" w:hAnsi="楷体" w:eastAsia="楷体" w:cs="楷体"/>
              <w:b/>
              <w:szCs w:val="21"/>
            </w:rPr>
            <w:t>/</w:t>
          </w:r>
          <w:r>
            <w:rPr>
              <w:rStyle w:val="7"/>
              <w:rFonts w:hint="eastAsia" w:ascii="楷体" w:hAnsi="楷体" w:eastAsia="楷体" w:cs="楷体"/>
              <w:sz w:val="18"/>
              <w:szCs w:val="18"/>
            </w:rPr>
            <w:fldChar w:fldCharType="begin"/>
          </w:r>
          <w:r>
            <w:rPr>
              <w:rStyle w:val="7"/>
              <w:rFonts w:hint="eastAsia" w:ascii="楷体" w:hAnsi="楷体" w:eastAsia="楷体" w:cs="楷体"/>
              <w:sz w:val="18"/>
              <w:szCs w:val="18"/>
            </w:rPr>
            <w:instrText xml:space="preserve"> NUMPAGES </w:instrText>
          </w:r>
          <w:r>
            <w:rPr>
              <w:rStyle w:val="7"/>
              <w:rFonts w:hint="eastAsia" w:ascii="楷体" w:hAnsi="楷体" w:eastAsia="楷体" w:cs="楷体"/>
              <w:sz w:val="18"/>
              <w:szCs w:val="18"/>
            </w:rPr>
            <w:fldChar w:fldCharType="separate"/>
          </w:r>
          <w:r>
            <w:rPr>
              <w:rStyle w:val="7"/>
              <w:rFonts w:hint="eastAsia" w:ascii="楷体" w:hAnsi="楷体" w:eastAsia="楷体" w:cs="楷体"/>
              <w:sz w:val="18"/>
              <w:szCs w:val="18"/>
            </w:rPr>
            <w:t>9</w:t>
          </w:r>
          <w:r>
            <w:rPr>
              <w:rStyle w:val="7"/>
              <w:rFonts w:hint="eastAsia" w:ascii="楷体" w:hAnsi="楷体" w:eastAsia="楷体" w:cs="楷体"/>
              <w:sz w:val="18"/>
              <w:szCs w:val="18"/>
            </w:rPr>
            <w:fldChar w:fldCharType="end"/>
          </w:r>
        </w:p>
      </w:tc>
    </w:tr>
  </w:tbl>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0" w:rightFromText="180" w:vertAnchor="text" w:horzAnchor="margin" w:tblpXSpec="center" w:tblpY="31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84"/>
      <w:gridCol w:w="4444"/>
      <w:gridCol w:w="1980"/>
      <w:gridCol w:w="11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426" w:hRule="atLeast"/>
        <w:jc w:val="center"/>
      </w:trPr>
      <w:tc>
        <w:tcPr>
          <w:tcW w:w="1784" w:type="dxa"/>
          <w:vMerge w:val="restart"/>
          <w:noWrap w:val="0"/>
          <w:vAlign w:val="center"/>
        </w:tcPr>
        <w:p>
          <w:pPr>
            <w:jc w:val="left"/>
            <w:rPr>
              <w:rFonts w:hint="eastAsia" w:ascii="楷体" w:hAnsi="楷体" w:eastAsia="楷体" w:cs="楷体"/>
            </w:rPr>
          </w:pPr>
        </w:p>
        <w:p>
          <w:pPr>
            <w:jc w:val="left"/>
            <w:rPr>
              <w:rFonts w:hint="eastAsia" w:ascii="楷体" w:hAnsi="楷体" w:eastAsia="楷体" w:cs="楷体"/>
            </w:rPr>
          </w:pPr>
        </w:p>
      </w:tc>
      <w:tc>
        <w:tcPr>
          <w:tcW w:w="4444" w:type="dxa"/>
          <w:vMerge w:val="restart"/>
          <w:noWrap w:val="0"/>
          <w:vAlign w:val="center"/>
        </w:tcPr>
        <w:p>
          <w:pPr>
            <w:jc w:val="center"/>
            <w:rPr>
              <w:rFonts w:hint="eastAsia" w:ascii="楷体" w:hAnsi="楷体" w:eastAsia="楷体" w:cs="楷体"/>
              <w:b/>
              <w:sz w:val="24"/>
            </w:rPr>
          </w:pPr>
          <w:r>
            <w:rPr>
              <w:rFonts w:hint="eastAsia" w:ascii="楷体" w:hAnsi="楷体" w:eastAsia="楷体" w:cs="楷体"/>
              <w:b/>
              <w:sz w:val="24"/>
              <w:lang w:eastAsia="zh-CN"/>
            </w:rPr>
            <w:t>XX</w:t>
          </w:r>
          <w:r>
            <w:rPr>
              <w:rFonts w:hint="eastAsia" w:ascii="楷体" w:hAnsi="楷体" w:eastAsia="楷体" w:cs="楷体"/>
              <w:b/>
              <w:sz w:val="24"/>
            </w:rPr>
            <w:t>新能源科技股份有限公司</w:t>
          </w:r>
        </w:p>
        <w:p>
          <w:pPr>
            <w:jc w:val="center"/>
            <w:rPr>
              <w:rFonts w:hint="eastAsia" w:ascii="楷体" w:hAnsi="楷体" w:eastAsia="楷体" w:cs="楷体"/>
              <w:szCs w:val="21"/>
            </w:rPr>
          </w:pPr>
          <w:r>
            <w:rPr>
              <w:rFonts w:hint="eastAsia" w:ascii="楷体" w:hAnsi="楷体" w:eastAsia="楷体" w:cs="楷体"/>
              <w:b/>
              <w:sz w:val="24"/>
            </w:rPr>
            <w:t>全面预算管理制度</w:t>
          </w:r>
        </w:p>
      </w:tc>
      <w:tc>
        <w:tcPr>
          <w:tcW w:w="1980" w:type="dxa"/>
          <w:noWrap w:val="0"/>
          <w:vAlign w:val="center"/>
        </w:tcPr>
        <w:p>
          <w:pPr>
            <w:jc w:val="center"/>
            <w:rPr>
              <w:rFonts w:hint="eastAsia" w:ascii="楷体" w:hAnsi="楷体" w:eastAsia="楷体" w:cs="楷体"/>
              <w:b/>
              <w:szCs w:val="21"/>
            </w:rPr>
          </w:pPr>
          <w:r>
            <w:rPr>
              <w:rFonts w:hint="eastAsia" w:ascii="楷体" w:hAnsi="楷体" w:eastAsia="楷体" w:cs="楷体"/>
              <w:b/>
              <w:spacing w:val="10"/>
              <w:szCs w:val="21"/>
            </w:rPr>
            <w:t>文件编号</w:t>
          </w:r>
        </w:p>
      </w:tc>
      <w:tc>
        <w:tcPr>
          <w:tcW w:w="1166" w:type="dxa"/>
          <w:noWrap w:val="0"/>
          <w:vAlign w:val="center"/>
        </w:tcPr>
        <w:p>
          <w:pPr>
            <w:jc w:val="center"/>
            <w:rPr>
              <w:rFonts w:hint="eastAsia" w:ascii="楷体" w:hAnsi="楷体" w:eastAsia="楷体" w:cs="楷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426" w:hRule="atLeast"/>
        <w:jc w:val="center"/>
      </w:trPr>
      <w:tc>
        <w:tcPr>
          <w:tcW w:w="1784" w:type="dxa"/>
          <w:vMerge w:val="continue"/>
          <w:noWrap w:val="0"/>
          <w:vAlign w:val="top"/>
        </w:tcPr>
        <w:p>
          <w:pPr>
            <w:rPr>
              <w:rFonts w:hint="eastAsia" w:ascii="楷体" w:hAnsi="楷体" w:eastAsia="楷体" w:cs="楷体"/>
            </w:rPr>
          </w:pPr>
        </w:p>
      </w:tc>
      <w:tc>
        <w:tcPr>
          <w:tcW w:w="4444" w:type="dxa"/>
          <w:vMerge w:val="continue"/>
          <w:noWrap w:val="0"/>
          <w:vAlign w:val="top"/>
        </w:tcPr>
        <w:p>
          <w:pPr>
            <w:rPr>
              <w:rFonts w:hint="eastAsia" w:ascii="楷体" w:hAnsi="楷体" w:eastAsia="楷体" w:cs="楷体"/>
              <w:szCs w:val="21"/>
            </w:rPr>
          </w:pPr>
        </w:p>
      </w:tc>
      <w:tc>
        <w:tcPr>
          <w:tcW w:w="1980" w:type="dxa"/>
          <w:noWrap w:val="0"/>
          <w:vAlign w:val="center"/>
        </w:tcPr>
        <w:p>
          <w:pPr>
            <w:jc w:val="center"/>
            <w:rPr>
              <w:rFonts w:hint="eastAsia" w:ascii="楷体" w:hAnsi="楷体" w:eastAsia="楷体" w:cs="楷体"/>
              <w:b/>
              <w:szCs w:val="21"/>
            </w:rPr>
          </w:pPr>
          <w:r>
            <w:rPr>
              <w:rFonts w:hint="eastAsia" w:ascii="楷体" w:hAnsi="楷体" w:eastAsia="楷体" w:cs="楷体"/>
              <w:b/>
              <w:szCs w:val="21"/>
            </w:rPr>
            <w:t>版本/版次</w:t>
          </w:r>
        </w:p>
      </w:tc>
      <w:tc>
        <w:tcPr>
          <w:tcW w:w="1166" w:type="dxa"/>
          <w:noWrap w:val="0"/>
          <w:vAlign w:val="center"/>
        </w:tcPr>
        <w:p>
          <w:pPr>
            <w:jc w:val="center"/>
            <w:rPr>
              <w:rFonts w:hint="eastAsia" w:ascii="楷体" w:hAnsi="楷体" w:eastAsia="楷体" w:cs="楷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426" w:hRule="atLeast"/>
        <w:jc w:val="center"/>
      </w:trPr>
      <w:tc>
        <w:tcPr>
          <w:tcW w:w="1784" w:type="dxa"/>
          <w:vMerge w:val="continue"/>
          <w:noWrap w:val="0"/>
          <w:vAlign w:val="top"/>
        </w:tcPr>
        <w:p>
          <w:pPr>
            <w:rPr>
              <w:rFonts w:hint="eastAsia" w:ascii="楷体" w:hAnsi="楷体" w:eastAsia="楷体" w:cs="楷体"/>
            </w:rPr>
          </w:pPr>
        </w:p>
      </w:tc>
      <w:tc>
        <w:tcPr>
          <w:tcW w:w="4444" w:type="dxa"/>
          <w:vMerge w:val="continue"/>
          <w:noWrap w:val="0"/>
          <w:vAlign w:val="top"/>
        </w:tcPr>
        <w:p>
          <w:pPr>
            <w:rPr>
              <w:rFonts w:hint="eastAsia" w:ascii="楷体" w:hAnsi="楷体" w:eastAsia="楷体" w:cs="楷体"/>
              <w:szCs w:val="21"/>
            </w:rPr>
          </w:pPr>
        </w:p>
      </w:tc>
      <w:tc>
        <w:tcPr>
          <w:tcW w:w="1980" w:type="dxa"/>
          <w:noWrap w:val="0"/>
          <w:vAlign w:val="center"/>
        </w:tcPr>
        <w:p>
          <w:pPr>
            <w:jc w:val="center"/>
            <w:rPr>
              <w:rFonts w:hint="eastAsia" w:ascii="楷体" w:hAnsi="楷体" w:eastAsia="楷体" w:cs="楷体"/>
              <w:b/>
              <w:szCs w:val="21"/>
            </w:rPr>
          </w:pPr>
          <w:r>
            <w:rPr>
              <w:rFonts w:hint="eastAsia" w:ascii="楷体" w:hAnsi="楷体" w:eastAsia="楷体" w:cs="楷体"/>
              <w:b/>
              <w:szCs w:val="21"/>
            </w:rPr>
            <w:t>页次/总页</w:t>
          </w:r>
        </w:p>
      </w:tc>
      <w:tc>
        <w:tcPr>
          <w:tcW w:w="1166" w:type="dxa"/>
          <w:noWrap w:val="0"/>
          <w:vAlign w:val="center"/>
        </w:tcPr>
        <w:p>
          <w:pPr>
            <w:jc w:val="center"/>
            <w:rPr>
              <w:rFonts w:hint="eastAsia" w:ascii="楷体" w:hAnsi="楷体" w:eastAsia="楷体" w:cs="楷体"/>
              <w:b/>
              <w:szCs w:val="21"/>
            </w:rPr>
          </w:pPr>
          <w:r>
            <w:rPr>
              <w:rFonts w:hint="eastAsia" w:ascii="楷体" w:hAnsi="楷体" w:eastAsia="楷体" w:cs="楷体"/>
              <w:b/>
              <w:szCs w:val="21"/>
            </w:rPr>
            <w:t xml:space="preserve"> </w:t>
          </w:r>
          <w:r>
            <w:rPr>
              <w:rFonts w:hint="eastAsia" w:ascii="楷体" w:hAnsi="楷体" w:eastAsia="楷体" w:cs="楷体"/>
              <w:b/>
              <w:szCs w:val="21"/>
            </w:rPr>
            <w:fldChar w:fldCharType="begin"/>
          </w:r>
          <w:r>
            <w:rPr>
              <w:rFonts w:hint="eastAsia" w:ascii="楷体" w:hAnsi="楷体" w:eastAsia="楷体" w:cs="楷体"/>
              <w:b/>
              <w:szCs w:val="21"/>
            </w:rPr>
            <w:instrText xml:space="preserve">PAGE   \* MERGEFORMAT</w:instrText>
          </w:r>
          <w:r>
            <w:rPr>
              <w:rFonts w:hint="eastAsia" w:ascii="楷体" w:hAnsi="楷体" w:eastAsia="楷体" w:cs="楷体"/>
              <w:b/>
              <w:szCs w:val="21"/>
            </w:rPr>
            <w:fldChar w:fldCharType="separate"/>
          </w:r>
          <w:r>
            <w:rPr>
              <w:rFonts w:hint="eastAsia" w:ascii="楷体" w:hAnsi="楷体" w:eastAsia="楷体" w:cs="楷体"/>
              <w:b/>
              <w:szCs w:val="21"/>
              <w:lang w:val="zh-CN"/>
            </w:rPr>
            <w:t>2</w:t>
          </w:r>
          <w:r>
            <w:rPr>
              <w:rFonts w:hint="eastAsia" w:ascii="楷体" w:hAnsi="楷体" w:eastAsia="楷体" w:cs="楷体"/>
              <w:b/>
              <w:szCs w:val="21"/>
            </w:rPr>
            <w:fldChar w:fldCharType="end"/>
          </w:r>
          <w:r>
            <w:rPr>
              <w:rFonts w:hint="eastAsia" w:ascii="楷体" w:hAnsi="楷体" w:eastAsia="楷体" w:cs="楷体"/>
              <w:b/>
              <w:szCs w:val="21"/>
            </w:rPr>
            <w:t>/</w:t>
          </w:r>
          <w:r>
            <w:rPr>
              <w:rStyle w:val="7"/>
              <w:rFonts w:hint="eastAsia" w:ascii="楷体" w:hAnsi="楷体" w:eastAsia="楷体" w:cs="楷体"/>
              <w:sz w:val="18"/>
              <w:szCs w:val="18"/>
            </w:rPr>
            <w:fldChar w:fldCharType="begin"/>
          </w:r>
          <w:r>
            <w:rPr>
              <w:rStyle w:val="7"/>
              <w:rFonts w:hint="eastAsia" w:ascii="楷体" w:hAnsi="楷体" w:eastAsia="楷体" w:cs="楷体"/>
              <w:sz w:val="18"/>
              <w:szCs w:val="18"/>
            </w:rPr>
            <w:instrText xml:space="preserve"> NUMPAGES </w:instrText>
          </w:r>
          <w:r>
            <w:rPr>
              <w:rStyle w:val="7"/>
              <w:rFonts w:hint="eastAsia" w:ascii="楷体" w:hAnsi="楷体" w:eastAsia="楷体" w:cs="楷体"/>
              <w:sz w:val="18"/>
              <w:szCs w:val="18"/>
            </w:rPr>
            <w:fldChar w:fldCharType="separate"/>
          </w:r>
          <w:r>
            <w:rPr>
              <w:rStyle w:val="7"/>
              <w:rFonts w:hint="eastAsia" w:ascii="楷体" w:hAnsi="楷体" w:eastAsia="楷体" w:cs="楷体"/>
              <w:sz w:val="18"/>
              <w:szCs w:val="18"/>
            </w:rPr>
            <w:t>9</w:t>
          </w:r>
          <w:r>
            <w:rPr>
              <w:rStyle w:val="7"/>
              <w:rFonts w:hint="eastAsia" w:ascii="楷体" w:hAnsi="楷体" w:eastAsia="楷体" w:cs="楷体"/>
              <w:sz w:val="18"/>
              <w:szCs w:val="18"/>
            </w:rPr>
            <w:fldChar w:fldCharType="end"/>
          </w:r>
        </w:p>
      </w:tc>
    </w:tr>
  </w:tbl>
  <w:p>
    <w:pPr>
      <w:rPr>
        <w:rFonts w:hint="eastAsia"/>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F7C"/>
    <w:multiLevelType w:val="multilevel"/>
    <w:tmpl w:val="07241F7C"/>
    <w:lvl w:ilvl="0" w:tentative="0">
      <w:start w:val="1"/>
      <w:numFmt w:val="decimal"/>
      <w:lvlText w:val="%1"/>
      <w:lvlJc w:val="left"/>
      <w:pPr>
        <w:ind w:left="425" w:hanging="425"/>
      </w:pPr>
      <w:rPr>
        <w:rFonts w:hint="eastAsia"/>
      </w:rPr>
    </w:lvl>
    <w:lvl w:ilvl="1" w:tentative="0">
      <w:start w:val="1"/>
      <w:numFmt w:val="decimal"/>
      <w:lvlText w:val="%1.%2"/>
      <w:lvlJc w:val="left"/>
      <w:pPr>
        <w:ind w:left="709" w:hanging="567"/>
      </w:pPr>
      <w:rPr>
        <w:rFonts w:hint="eastAsia"/>
      </w:rPr>
    </w:lvl>
    <w:lvl w:ilvl="2" w:tentative="0">
      <w:start w:val="1"/>
      <w:numFmt w:val="lowerLetter"/>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7AC0927"/>
    <w:multiLevelType w:val="multilevel"/>
    <w:tmpl w:val="07AC0927"/>
    <w:lvl w:ilvl="0" w:tentative="0">
      <w:start w:val="1"/>
      <w:numFmt w:val="decimal"/>
      <w:lvlText w:val="%1"/>
      <w:lvlJc w:val="left"/>
      <w:pPr>
        <w:ind w:left="425" w:hanging="425"/>
      </w:pPr>
      <w:rPr>
        <w:rFonts w:hint="eastAsia"/>
      </w:rPr>
    </w:lvl>
    <w:lvl w:ilvl="1" w:tentative="0">
      <w:start w:val="1"/>
      <w:numFmt w:val="decimal"/>
      <w:lvlText w:val="%1.%2"/>
      <w:lvlJc w:val="left"/>
      <w:pPr>
        <w:ind w:left="709" w:hanging="567"/>
      </w:pPr>
      <w:rPr>
        <w:rFonts w:hint="eastAsia"/>
      </w:rPr>
    </w:lvl>
    <w:lvl w:ilvl="2" w:tentative="0">
      <w:start w:val="1"/>
      <w:numFmt w:val="lowerLetter"/>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D8A2719"/>
    <w:multiLevelType w:val="multilevel"/>
    <w:tmpl w:val="0D8A2719"/>
    <w:lvl w:ilvl="0" w:tentative="0">
      <w:start w:val="1"/>
      <w:numFmt w:val="decimal"/>
      <w:lvlText w:val="%1"/>
      <w:lvlJc w:val="left"/>
      <w:pPr>
        <w:ind w:left="425" w:hanging="425"/>
      </w:pPr>
    </w:lvl>
    <w:lvl w:ilvl="1" w:tentative="0">
      <w:start w:val="1"/>
      <w:numFmt w:val="decimal"/>
      <w:lvlText w:val="%1.%2"/>
      <w:lvlJc w:val="left"/>
      <w:pPr>
        <w:ind w:left="709" w:hanging="567"/>
      </w:pPr>
    </w:lvl>
    <w:lvl w:ilvl="2" w:tentative="0">
      <w:start w:val="1"/>
      <w:numFmt w:val="decimal"/>
      <w:lvlText w:val="%1.%2.%3"/>
      <w:lvlJc w:val="left"/>
      <w:pPr>
        <w:ind w:left="1560"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26694062"/>
    <w:multiLevelType w:val="multilevel"/>
    <w:tmpl w:val="26694062"/>
    <w:lvl w:ilvl="0" w:tentative="0">
      <w:start w:val="1"/>
      <w:numFmt w:val="decimal"/>
      <w:lvlText w:val="%1"/>
      <w:lvlJc w:val="left"/>
      <w:pPr>
        <w:ind w:left="425" w:hanging="425"/>
      </w:pPr>
    </w:lvl>
    <w:lvl w:ilvl="1" w:tentative="0">
      <w:start w:val="1"/>
      <w:numFmt w:val="decimal"/>
      <w:lvlText w:val="%1.%2"/>
      <w:lvlJc w:val="left"/>
      <w:pPr>
        <w:ind w:left="709" w:hanging="567"/>
      </w:pPr>
    </w:lvl>
    <w:lvl w:ilvl="2" w:tentative="0">
      <w:start w:val="1"/>
      <w:numFmt w:val="lowerLetter"/>
      <w:lvlText w:val="%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2BC13C5A"/>
    <w:multiLevelType w:val="multilevel"/>
    <w:tmpl w:val="2BC13C5A"/>
    <w:lvl w:ilvl="0" w:tentative="0">
      <w:start w:val="1"/>
      <w:numFmt w:val="decimal"/>
      <w:lvlText w:val="%1"/>
      <w:lvlJc w:val="left"/>
      <w:pPr>
        <w:ind w:left="425" w:hanging="425"/>
      </w:pPr>
      <w:rPr>
        <w:rFonts w:hint="eastAsia"/>
      </w:rPr>
    </w:lvl>
    <w:lvl w:ilvl="1" w:tentative="0">
      <w:start w:val="1"/>
      <w:numFmt w:val="decimal"/>
      <w:lvlText w:val="%1.%2"/>
      <w:lvlJc w:val="left"/>
      <w:pPr>
        <w:ind w:left="709" w:hanging="567"/>
      </w:pPr>
      <w:rPr>
        <w:rFonts w:hint="eastAsia"/>
      </w:rPr>
    </w:lvl>
    <w:lvl w:ilvl="2" w:tentative="0">
      <w:start w:val="1"/>
      <w:numFmt w:val="lowerLetter"/>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DEF73CF"/>
    <w:multiLevelType w:val="multilevel"/>
    <w:tmpl w:val="2DEF73CF"/>
    <w:lvl w:ilvl="0" w:tentative="0">
      <w:start w:val="1"/>
      <w:numFmt w:val="decimal"/>
      <w:lvlText w:val="%1"/>
      <w:lvlJc w:val="left"/>
      <w:pPr>
        <w:ind w:left="425" w:hanging="425"/>
      </w:pPr>
      <w:rPr>
        <w:rFonts w:hint="eastAsia"/>
      </w:rPr>
    </w:lvl>
    <w:lvl w:ilvl="1" w:tentative="0">
      <w:start w:val="1"/>
      <w:numFmt w:val="decimal"/>
      <w:lvlText w:val="%1.%2"/>
      <w:lvlJc w:val="left"/>
      <w:pPr>
        <w:ind w:left="709" w:hanging="567"/>
      </w:pPr>
      <w:rPr>
        <w:rFonts w:hint="eastAsia"/>
      </w:rPr>
    </w:lvl>
    <w:lvl w:ilvl="2" w:tentative="0">
      <w:start w:val="1"/>
      <w:numFmt w:val="lowerLetter"/>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4929708B"/>
    <w:multiLevelType w:val="multilevel"/>
    <w:tmpl w:val="4929708B"/>
    <w:lvl w:ilvl="0" w:tentative="0">
      <w:start w:val="1"/>
      <w:numFmt w:val="decimal"/>
      <w:lvlText w:val="%1"/>
      <w:lvlJc w:val="left"/>
      <w:pPr>
        <w:ind w:left="425" w:hanging="425"/>
      </w:pPr>
      <w:rPr>
        <w:rFonts w:hint="eastAsia"/>
      </w:rPr>
    </w:lvl>
    <w:lvl w:ilvl="1" w:tentative="0">
      <w:start w:val="1"/>
      <w:numFmt w:val="decimal"/>
      <w:lvlText w:val="%1.%2"/>
      <w:lvlJc w:val="left"/>
      <w:pPr>
        <w:ind w:left="709" w:hanging="567"/>
      </w:pPr>
      <w:rPr>
        <w:rFonts w:hint="eastAsia"/>
      </w:rPr>
    </w:lvl>
    <w:lvl w:ilvl="2" w:tentative="0">
      <w:start w:val="1"/>
      <w:numFmt w:val="lowerLetter"/>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4AC23BD8"/>
    <w:multiLevelType w:val="multilevel"/>
    <w:tmpl w:val="4AC23BD8"/>
    <w:lvl w:ilvl="0" w:tentative="0">
      <w:start w:val="1"/>
      <w:numFmt w:val="decimal"/>
      <w:lvlText w:val="%1"/>
      <w:lvlJc w:val="left"/>
      <w:pPr>
        <w:ind w:left="425" w:hanging="425"/>
      </w:pPr>
      <w:rPr>
        <w:rFonts w:hint="eastAsia"/>
      </w:rPr>
    </w:lvl>
    <w:lvl w:ilvl="1" w:tentative="0">
      <w:start w:val="1"/>
      <w:numFmt w:val="decimal"/>
      <w:lvlText w:val="%1.%2"/>
      <w:lvlJc w:val="left"/>
      <w:pPr>
        <w:ind w:left="709" w:hanging="567"/>
      </w:pPr>
      <w:rPr>
        <w:rFonts w:hint="eastAsia"/>
      </w:rPr>
    </w:lvl>
    <w:lvl w:ilvl="2" w:tentative="0">
      <w:start w:val="1"/>
      <w:numFmt w:val="lowerLetter"/>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671441ED"/>
    <w:multiLevelType w:val="multilevel"/>
    <w:tmpl w:val="671441ED"/>
    <w:lvl w:ilvl="0" w:tentative="0">
      <w:start w:val="1"/>
      <w:numFmt w:val="decimal"/>
      <w:lvlText w:val="%1"/>
      <w:lvlJc w:val="left"/>
      <w:pPr>
        <w:ind w:left="425" w:hanging="425"/>
      </w:pPr>
    </w:lvl>
    <w:lvl w:ilvl="1" w:tentative="0">
      <w:start w:val="1"/>
      <w:numFmt w:val="decimal"/>
      <w:lvlText w:val="%1.%2"/>
      <w:lvlJc w:val="left"/>
      <w:pPr>
        <w:ind w:left="709" w:hanging="567"/>
      </w:pPr>
    </w:lvl>
    <w:lvl w:ilvl="2" w:tentative="0">
      <w:start w:val="1"/>
      <w:numFmt w:val="lowerLetter"/>
      <w:lvlText w:val="%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8"/>
  </w:num>
  <w:num w:numId="3">
    <w:abstractNumId w:val="3"/>
  </w:num>
  <w:num w:numId="4">
    <w:abstractNumId w:val="0"/>
  </w:num>
  <w:num w:numId="5">
    <w:abstractNumId w:val="6"/>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6F7"/>
    <w:rsid w:val="0002299B"/>
    <w:rsid w:val="000526B7"/>
    <w:rsid w:val="00053A7F"/>
    <w:rsid w:val="00056C06"/>
    <w:rsid w:val="000654BD"/>
    <w:rsid w:val="000878AE"/>
    <w:rsid w:val="0009186A"/>
    <w:rsid w:val="00096D95"/>
    <w:rsid w:val="000A6349"/>
    <w:rsid w:val="000E1573"/>
    <w:rsid w:val="000F3D71"/>
    <w:rsid w:val="000F6EED"/>
    <w:rsid w:val="00107722"/>
    <w:rsid w:val="00136028"/>
    <w:rsid w:val="001738D1"/>
    <w:rsid w:val="00175B99"/>
    <w:rsid w:val="00176CB0"/>
    <w:rsid w:val="00181FF2"/>
    <w:rsid w:val="001853E8"/>
    <w:rsid w:val="001949FC"/>
    <w:rsid w:val="001B13DA"/>
    <w:rsid w:val="001B1F99"/>
    <w:rsid w:val="001C4778"/>
    <w:rsid w:val="001E15DB"/>
    <w:rsid w:val="00213C95"/>
    <w:rsid w:val="002401D3"/>
    <w:rsid w:val="00266E6A"/>
    <w:rsid w:val="0028535C"/>
    <w:rsid w:val="002A4E71"/>
    <w:rsid w:val="002B3CF6"/>
    <w:rsid w:val="002B5C27"/>
    <w:rsid w:val="002C7425"/>
    <w:rsid w:val="002F12F3"/>
    <w:rsid w:val="00320799"/>
    <w:rsid w:val="00326A95"/>
    <w:rsid w:val="003566FA"/>
    <w:rsid w:val="0036316B"/>
    <w:rsid w:val="003659F2"/>
    <w:rsid w:val="00390BB9"/>
    <w:rsid w:val="0039541E"/>
    <w:rsid w:val="003A027A"/>
    <w:rsid w:val="003A7FC5"/>
    <w:rsid w:val="003B0E91"/>
    <w:rsid w:val="003B332A"/>
    <w:rsid w:val="003C6A3B"/>
    <w:rsid w:val="003E715E"/>
    <w:rsid w:val="003F56B0"/>
    <w:rsid w:val="00412B4A"/>
    <w:rsid w:val="00415855"/>
    <w:rsid w:val="00434824"/>
    <w:rsid w:val="0044068D"/>
    <w:rsid w:val="004B5A63"/>
    <w:rsid w:val="004C4801"/>
    <w:rsid w:val="004E585B"/>
    <w:rsid w:val="005362FF"/>
    <w:rsid w:val="00540577"/>
    <w:rsid w:val="005436EF"/>
    <w:rsid w:val="00560ADC"/>
    <w:rsid w:val="0057654D"/>
    <w:rsid w:val="0058293D"/>
    <w:rsid w:val="00590367"/>
    <w:rsid w:val="00591861"/>
    <w:rsid w:val="005C73B0"/>
    <w:rsid w:val="005E402C"/>
    <w:rsid w:val="0060480D"/>
    <w:rsid w:val="00621C48"/>
    <w:rsid w:val="006259A9"/>
    <w:rsid w:val="006538C8"/>
    <w:rsid w:val="00657F0D"/>
    <w:rsid w:val="00674113"/>
    <w:rsid w:val="00674BA1"/>
    <w:rsid w:val="006804BF"/>
    <w:rsid w:val="006A4CDD"/>
    <w:rsid w:val="006B7E2B"/>
    <w:rsid w:val="006E2D39"/>
    <w:rsid w:val="006F0752"/>
    <w:rsid w:val="00707345"/>
    <w:rsid w:val="007232F5"/>
    <w:rsid w:val="00733A62"/>
    <w:rsid w:val="00736985"/>
    <w:rsid w:val="00737E4E"/>
    <w:rsid w:val="00747F14"/>
    <w:rsid w:val="007614B6"/>
    <w:rsid w:val="007737B9"/>
    <w:rsid w:val="00782CA6"/>
    <w:rsid w:val="00790747"/>
    <w:rsid w:val="007B2BFD"/>
    <w:rsid w:val="007C509F"/>
    <w:rsid w:val="007D6F5E"/>
    <w:rsid w:val="007E6C04"/>
    <w:rsid w:val="00803765"/>
    <w:rsid w:val="00807D49"/>
    <w:rsid w:val="008166D2"/>
    <w:rsid w:val="00831891"/>
    <w:rsid w:val="00832F3B"/>
    <w:rsid w:val="0087026A"/>
    <w:rsid w:val="00872C11"/>
    <w:rsid w:val="00876526"/>
    <w:rsid w:val="0088330F"/>
    <w:rsid w:val="00885181"/>
    <w:rsid w:val="008A070F"/>
    <w:rsid w:val="008A7A7D"/>
    <w:rsid w:val="008A7FBB"/>
    <w:rsid w:val="008B2D2E"/>
    <w:rsid w:val="008C0D62"/>
    <w:rsid w:val="008D5589"/>
    <w:rsid w:val="00901E67"/>
    <w:rsid w:val="009026A9"/>
    <w:rsid w:val="00911655"/>
    <w:rsid w:val="009147DB"/>
    <w:rsid w:val="00925F5D"/>
    <w:rsid w:val="00940B2B"/>
    <w:rsid w:val="00964C8A"/>
    <w:rsid w:val="009A19D0"/>
    <w:rsid w:val="009B77CF"/>
    <w:rsid w:val="009C607F"/>
    <w:rsid w:val="009D0A30"/>
    <w:rsid w:val="009D20BF"/>
    <w:rsid w:val="00A35E51"/>
    <w:rsid w:val="00A517BB"/>
    <w:rsid w:val="00A8380F"/>
    <w:rsid w:val="00A842DC"/>
    <w:rsid w:val="00AE70E8"/>
    <w:rsid w:val="00AF3E03"/>
    <w:rsid w:val="00B35B4C"/>
    <w:rsid w:val="00B40E78"/>
    <w:rsid w:val="00B61699"/>
    <w:rsid w:val="00B66AC3"/>
    <w:rsid w:val="00B763BF"/>
    <w:rsid w:val="00B81344"/>
    <w:rsid w:val="00B82C05"/>
    <w:rsid w:val="00B93F03"/>
    <w:rsid w:val="00BB7777"/>
    <w:rsid w:val="00BC2E30"/>
    <w:rsid w:val="00BC50F0"/>
    <w:rsid w:val="00BD4704"/>
    <w:rsid w:val="00BD79D1"/>
    <w:rsid w:val="00C4488E"/>
    <w:rsid w:val="00C47459"/>
    <w:rsid w:val="00C51C9C"/>
    <w:rsid w:val="00C678CD"/>
    <w:rsid w:val="00C92E0C"/>
    <w:rsid w:val="00CB553A"/>
    <w:rsid w:val="00CC1F55"/>
    <w:rsid w:val="00CF06B4"/>
    <w:rsid w:val="00D26056"/>
    <w:rsid w:val="00D267C1"/>
    <w:rsid w:val="00D26CB3"/>
    <w:rsid w:val="00D26E6C"/>
    <w:rsid w:val="00D33B0B"/>
    <w:rsid w:val="00D41199"/>
    <w:rsid w:val="00D6183A"/>
    <w:rsid w:val="00D74B57"/>
    <w:rsid w:val="00D8030D"/>
    <w:rsid w:val="00D94FAB"/>
    <w:rsid w:val="00E0721E"/>
    <w:rsid w:val="00E079D9"/>
    <w:rsid w:val="00E171A4"/>
    <w:rsid w:val="00E17FFD"/>
    <w:rsid w:val="00E6050F"/>
    <w:rsid w:val="00E65E5A"/>
    <w:rsid w:val="00E7759E"/>
    <w:rsid w:val="00E90B58"/>
    <w:rsid w:val="00E97F30"/>
    <w:rsid w:val="00EC1B50"/>
    <w:rsid w:val="00EE21AD"/>
    <w:rsid w:val="00EF0FB8"/>
    <w:rsid w:val="00F139C7"/>
    <w:rsid w:val="00F1498F"/>
    <w:rsid w:val="00F23D48"/>
    <w:rsid w:val="00F24D62"/>
    <w:rsid w:val="00F33D97"/>
    <w:rsid w:val="00F44287"/>
    <w:rsid w:val="00F44FB0"/>
    <w:rsid w:val="00F578B5"/>
    <w:rsid w:val="00F67E01"/>
    <w:rsid w:val="00F83485"/>
    <w:rsid w:val="00F87325"/>
    <w:rsid w:val="00FA0B17"/>
    <w:rsid w:val="00FF541A"/>
    <w:rsid w:val="4C337570"/>
    <w:rsid w:val="5D0214A3"/>
    <w:rsid w:val="79EE6E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sz w:val="24"/>
      <w:szCs w:val="20"/>
    </w:rPr>
  </w:style>
  <w:style w:type="paragraph" w:styleId="3">
    <w:name w:val="Balloon Text"/>
    <w:basedOn w:val="1"/>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character" w:styleId="7">
    <w:name w:val="page number"/>
    <w:basedOn w:val="6"/>
    <w:qFormat/>
    <w:uiPriority w:val="0"/>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
    <w:basedOn w:val="1"/>
    <w:qFormat/>
    <w:uiPriority w:val="34"/>
    <w:pPr>
      <w:ind w:firstLine="420" w:firstLineChars="200"/>
    </w:pPr>
  </w:style>
  <w:style w:type="character" w:customStyle="1" w:styleId="11">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e/Library/Containers/com.kingsoft.wpsoffice.mac/Data/C:\Users\79253\Desktop\&#36130;&#21153;&#31649;&#29702;&#32593;\&#36130;&#21153;&#21046;&#24230;\05-&#20840;&#38754;&#39044;&#31639;&#31649;&#29702;&#20840;&#22871;&#36164;&#26009;\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9</Pages>
  <Words>740</Words>
  <Characters>4222</Characters>
  <Lines>35</Lines>
  <Paragraphs>9</Paragraphs>
  <ScaleCrop>false</ScaleCrop>
  <LinksUpToDate>false</LinksUpToDate>
  <CharactersWithSpaces>4953</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2012-04-30T06:47:00Z</dcterms:created>
  <dc:creator>ixin</dc:creator>
  <cp:lastModifiedBy>dae</cp:lastModifiedBy>
  <cp:lastPrinted>2015-01-02T16:01:00Z</cp:lastPrinted>
  <dcterms:modified xsi:type="dcterms:W3CDTF">2022-03-04T21:04:48Z</dcterms:modified>
  <dc:title> </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