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代理出口协议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协议编号</w:t>
      </w:r>
      <w:r>
        <w:rPr>
          <w:rFonts w:hint="default" w:ascii="Segoe UI" w:hAnsi="Segoe UI" w:eastAsia="Segoe UI" w:cs="Segoe UI"/>
          <w:i w:val="0"/>
          <w:iCs w:val="0"/>
          <w:caps w:val="0"/>
          <w:color w:val="05073B"/>
          <w:spacing w:val="0"/>
          <w:sz w:val="22"/>
          <w:szCs w:val="22"/>
          <w:bdr w:val="none" w:color="auto" w:sz="0" w:space="0"/>
        </w:rPr>
        <w:t>： 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甲方（委托方）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电话：_____________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传真：_____________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邮编：_____________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电子信箱：_________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乙方（受托方）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电话：_____________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传真：_____________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邮编：_____________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电子信箱：_________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签约时间</w:t>
      </w:r>
      <w:r>
        <w:rPr>
          <w:rFonts w:hint="default" w:ascii="Segoe UI" w:hAnsi="Segoe UI" w:eastAsia="Segoe UI" w:cs="Segoe UI"/>
          <w:i w:val="0"/>
          <w:iCs w:val="0"/>
          <w:caps w:val="0"/>
          <w:color w:val="05073B"/>
          <w:spacing w:val="0"/>
          <w:sz w:val="22"/>
          <w:szCs w:val="22"/>
          <w:bdr w:val="none" w:color="auto" w:sz="0" w:space="0"/>
        </w:rPr>
        <w:t>： __________</w:t>
      </w:r>
      <w:r>
        <w:rPr>
          <w:rFonts w:hint="default" w:ascii="Segoe UI" w:hAnsi="Segoe UI" w:eastAsia="Segoe UI" w:cs="Segoe UI"/>
          <w:i w:val="0"/>
          <w:iCs w:val="0"/>
          <w:caps w:val="0"/>
          <w:color w:val="05073B"/>
          <w:spacing w:val="0"/>
          <w:sz w:val="22"/>
          <w:szCs w:val="22"/>
          <w:bdr w:val="none" w:color="auto" w:sz="0" w:space="0"/>
        </w:rPr>
        <w:br w:type="textWrapping"/>
      </w:r>
      <w:r>
        <w:rPr>
          <w:rStyle w:val="134"/>
          <w:rFonts w:hint="default" w:ascii="Segoe UI" w:hAnsi="Segoe UI" w:eastAsia="Segoe UI" w:cs="Segoe UI"/>
          <w:b/>
          <w:bCs/>
          <w:i w:val="0"/>
          <w:iCs w:val="0"/>
          <w:caps w:val="0"/>
          <w:color w:val="05073B"/>
          <w:spacing w:val="0"/>
          <w:sz w:val="22"/>
          <w:szCs w:val="22"/>
          <w:bdr w:val="none" w:color="auto" w:sz="0" w:space="0"/>
        </w:rPr>
        <w:t>签约地点</w:t>
      </w:r>
      <w:r>
        <w:rPr>
          <w:rFonts w:hint="default" w:ascii="Segoe UI" w:hAnsi="Segoe UI" w:eastAsia="Segoe UI" w:cs="Segoe UI"/>
          <w:i w:val="0"/>
          <w:iCs w:val="0"/>
          <w:caps w:val="0"/>
          <w:color w:val="05073B"/>
          <w:spacing w:val="0"/>
          <w:sz w:val="22"/>
          <w:szCs w:val="22"/>
          <w:bdr w:val="none" w:color="auto" w:sz="0" w:space="0"/>
        </w:rPr>
        <w:t>： 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甲、乙双方本着互惠互利、共同开拓出口渠道的原则，在营销上发挥各自优势，经友好协商，就甲方委托乙方代理出口其产品给甲方指定的境外客户（以下简称“外商”）一事，达成如下协议：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一、总则</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为甲、乙双方建立代理出口法律关系的总协议。双方将针对每一批实际出口的货物签订具体的《收购合同》，每份《收购合同》均自动受本协议条款的约束。如《收购合同》与本协议存在冲突，以本协议为准。</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二、代理事项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甲方委托乙方代理出口其产品。产品的数量、质量、规格、价格、付款方式、交货期、目的港和保险等条件，由甲方与外商自行商定，并直接对外商负责。因出口货物的相关问题引起的责任和损失，由甲方承担。</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甲方应按时向乙方提供真实、准确的出口产品资料，包括品名、规格、数量、金额、装箱情况等，并提供《商检换证凭单》以便乙方办理相关手续。若因甲方提供的资料与实际不符导致的问题，甲方应承担相应责任和损失。</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3.</w:t>
      </w:r>
      <w:r>
        <w:rPr>
          <w:rFonts w:hint="default" w:ascii="PingFang-SC-Regular" w:hAnsi="PingFang-SC-Regular" w:eastAsia="PingFang-SC-Regular" w:cs="PingFang-SC-Regular"/>
          <w:i w:val="0"/>
          <w:iCs w:val="0"/>
          <w:caps w:val="0"/>
          <w:color w:val="05073B"/>
          <w:spacing w:val="0"/>
          <w:sz w:val="22"/>
          <w:szCs w:val="22"/>
          <w:bdr w:val="none" w:color="auto" w:sz="0" w:space="0"/>
        </w:rPr>
        <w:t>甲方负责安排远洋运输（费用由甲方承担）及租船订舱事宜，并及时向乙方提供相关信息。乙方负责办理出口报关手续、单证制作、拖车等事宜，并承担相应费用。</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4.</w:t>
      </w:r>
      <w:r>
        <w:rPr>
          <w:rFonts w:hint="default" w:ascii="PingFang-SC-Regular" w:hAnsi="PingFang-SC-Regular" w:eastAsia="PingFang-SC-Regular" w:cs="PingFang-SC-Regular"/>
          <w:i w:val="0"/>
          <w:iCs w:val="0"/>
          <w:caps w:val="0"/>
          <w:color w:val="05073B"/>
          <w:spacing w:val="0"/>
          <w:sz w:val="22"/>
          <w:szCs w:val="22"/>
          <w:bdr w:val="none" w:color="auto" w:sz="0" w:space="0"/>
        </w:rPr>
        <w:t>乙方在收到甲方提供的装箱资料后，应及时制作单证并安排报关出口。非因乙方原因导致的出口耽误，乙方不承担责任。</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三、退税</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退税由乙方办理。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甲方应在货物出口报关后及时提供合法有效的增值发票及《税收（出口专用）缴款书》给乙方。若甲方未能在规定时间内提供或提供的票据不符合要求，乙方有权暂停支付相关税款，已支付的税款甲方应予退回。</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四、支付方式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2" w:firstLineChars="200"/>
        <w:rPr>
          <w:rFonts w:hint="default" w:ascii="PingFang-SC-Regular" w:hAnsi="PingFang-SC-Regular" w:eastAsia="PingFang-SC-Regular" w:cs="PingFang-SC-Regular"/>
          <w:sz w:val="22"/>
          <w:szCs w:val="22"/>
        </w:rPr>
      </w:pPr>
      <w:r>
        <w:rPr>
          <w:rStyle w:val="134"/>
          <w:rFonts w:hint="eastAsia" w:ascii="Segoe UI" w:hAnsi="Segoe UI" w:eastAsia="宋体" w:cs="Segoe UI"/>
          <w:b/>
          <w:bCs/>
          <w:i w:val="0"/>
          <w:iCs w:val="0"/>
          <w:caps w:val="0"/>
          <w:color w:val="05073B"/>
          <w:spacing w:val="0"/>
          <w:sz w:val="22"/>
          <w:szCs w:val="22"/>
          <w:bdr w:val="none" w:color="auto" w:sz="0" w:space="0"/>
          <w:lang w:val="en-US" w:eastAsia="zh-CN"/>
        </w:rPr>
        <w:t>1.</w:t>
      </w:r>
      <w:r>
        <w:rPr>
          <w:rStyle w:val="134"/>
          <w:rFonts w:hint="default" w:ascii="Segoe UI" w:hAnsi="Segoe UI" w:eastAsia="Segoe UI" w:cs="Segoe UI"/>
          <w:b/>
          <w:bCs/>
          <w:i w:val="0"/>
          <w:iCs w:val="0"/>
          <w:caps w:val="0"/>
          <w:color w:val="05073B"/>
          <w:spacing w:val="0"/>
          <w:sz w:val="22"/>
          <w:szCs w:val="22"/>
          <w:bdr w:val="none" w:color="auto" w:sz="0" w:space="0"/>
        </w:rPr>
        <w:t>定金支付方式</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Chars="0" w:right="0" w:rightChars="0" w:firstLine="45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bdr w:val="none" w:color="auto" w:sz="0" w:space="0"/>
        </w:rPr>
        <w:t>●</w:t>
      </w:r>
      <w:r>
        <w:rPr>
          <w:rFonts w:hint="default" w:ascii="PingFang-SC-Regular" w:hAnsi="PingFang-SC-Regular" w:eastAsia="PingFang-SC-Regular" w:cs="PingFang-SC-Regular"/>
          <w:i w:val="0"/>
          <w:iCs w:val="0"/>
          <w:caps w:val="0"/>
          <w:color w:val="05073B"/>
          <w:spacing w:val="0"/>
          <w:sz w:val="22"/>
          <w:szCs w:val="22"/>
          <w:bdr w:val="none" w:color="auto" w:sz="0" w:space="0"/>
        </w:rPr>
        <w:t>乙方在收到外商支付的定金后，按约定汇率折算成人民币支付给甲方。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乙方在收到外商开出的、以乙方为受益人的信用证后，按约定比例和汇率折算成人民币支付给甲方。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《收购合同》生效后，乙方按约定比例支付定金给甲方。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2" w:firstLineChars="200"/>
        <w:rPr>
          <w:rFonts w:hint="default" w:ascii="PingFang-SC-Regular" w:hAnsi="PingFang-SC-Regular" w:eastAsia="PingFang-SC-Regular" w:cs="PingFang-SC-Regular"/>
          <w:sz w:val="22"/>
          <w:szCs w:val="22"/>
        </w:rPr>
      </w:pPr>
      <w:r>
        <w:rPr>
          <w:rStyle w:val="134"/>
          <w:rFonts w:hint="eastAsia" w:ascii="Segoe UI" w:hAnsi="Segoe UI" w:eastAsia="宋体" w:cs="Segoe UI"/>
          <w:b/>
          <w:bCs/>
          <w:i w:val="0"/>
          <w:iCs w:val="0"/>
          <w:caps w:val="0"/>
          <w:color w:val="05073B"/>
          <w:spacing w:val="0"/>
          <w:sz w:val="22"/>
          <w:szCs w:val="22"/>
          <w:bdr w:val="none" w:color="auto" w:sz="0" w:space="0"/>
          <w:lang w:val="en-US" w:eastAsia="zh-CN"/>
        </w:rPr>
        <w:t>2.</w:t>
      </w:r>
      <w:r>
        <w:rPr>
          <w:rStyle w:val="134"/>
          <w:rFonts w:hint="default" w:ascii="Segoe UI" w:hAnsi="Segoe UI" w:eastAsia="Segoe UI" w:cs="Segoe UI"/>
          <w:b/>
          <w:bCs/>
          <w:i w:val="0"/>
          <w:iCs w:val="0"/>
          <w:caps w:val="0"/>
          <w:color w:val="05073B"/>
          <w:spacing w:val="0"/>
          <w:sz w:val="22"/>
          <w:szCs w:val="22"/>
          <w:bdr w:val="none" w:color="auto" w:sz="0" w:space="0"/>
        </w:rPr>
        <w:t>余款支付方式</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甲方应催促外商在货物出口报关后一定期限内将全额外汇货款付至乙方账户，乙方在收到货款后扣除已支付款项和手续费后，将余款支付给甲方。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乙方在收到甲方提供的合法票据后，按《收购合同》金额扣除已支付款项和手续费后，将余款支付给甲方。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若外商开出的是远期信用证，乙方在信用证得到承兑后，按约定支付余款给甲方。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2" w:firstLineChars="200"/>
        <w:rPr>
          <w:rFonts w:hint="default" w:ascii="PingFang-SC-Regular" w:hAnsi="PingFang-SC-Regular" w:eastAsia="PingFang-SC-Regular" w:cs="PingFang-SC-Regular"/>
          <w:sz w:val="22"/>
          <w:szCs w:val="22"/>
        </w:rPr>
      </w:pPr>
      <w:r>
        <w:rPr>
          <w:rStyle w:val="134"/>
          <w:rFonts w:hint="eastAsia" w:ascii="Segoe UI" w:hAnsi="Segoe UI" w:eastAsia="宋体" w:cs="Segoe UI"/>
          <w:b/>
          <w:bCs/>
          <w:i w:val="0"/>
          <w:iCs w:val="0"/>
          <w:caps w:val="0"/>
          <w:color w:val="05073B"/>
          <w:spacing w:val="0"/>
          <w:sz w:val="22"/>
          <w:szCs w:val="22"/>
          <w:bdr w:val="none" w:color="auto" w:sz="0" w:space="0"/>
          <w:lang w:val="en-US" w:eastAsia="zh-CN"/>
        </w:rPr>
        <w:t>3.</w:t>
      </w:r>
      <w:r>
        <w:rPr>
          <w:rStyle w:val="134"/>
          <w:rFonts w:hint="default" w:ascii="Segoe UI" w:hAnsi="Segoe UI" w:eastAsia="Segoe UI" w:cs="Segoe UI"/>
          <w:b/>
          <w:bCs/>
          <w:i w:val="0"/>
          <w:iCs w:val="0"/>
          <w:caps w:val="0"/>
          <w:color w:val="05073B"/>
          <w:spacing w:val="0"/>
          <w:sz w:val="22"/>
          <w:szCs w:val="22"/>
          <w:bdr w:val="none" w:color="auto" w:sz="0" w:space="0"/>
        </w:rPr>
        <w:t>无定金货款支付</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甲方应确保外商在货物出口报关后一定期限内将全额外汇货款付至乙方账户，乙方在收到货款后扣除手续费后，将余款支付给甲方。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五、其他</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[其他需要补充的条款]</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六、争议</w:t>
      </w:r>
      <w:bookmarkStart w:id="0" w:name="_GoBack"/>
      <w:bookmarkEnd w:id="0"/>
      <w:r>
        <w:rPr>
          <w:rStyle w:val="134"/>
          <w:rFonts w:hint="default" w:ascii="Segoe UI" w:hAnsi="Segoe UI" w:eastAsia="Segoe UI" w:cs="Segoe UI"/>
          <w:b/>
          <w:bCs/>
          <w:i w:val="0"/>
          <w:iCs w:val="0"/>
          <w:caps w:val="0"/>
          <w:color w:val="05073B"/>
          <w:spacing w:val="0"/>
          <w:sz w:val="22"/>
          <w:szCs w:val="22"/>
          <w:bdr w:val="none" w:color="auto" w:sz="0" w:space="0"/>
        </w:rPr>
        <w:t>解决</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双方因履行本协议产生的争议，应首先通过友好协商解决；协商不成的，任何一方均有权向[指定仲裁机构或法院]申请仲裁/提起诉讼。</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七、协议生效与终止</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本协议自双方签字或盖章之日起生效，有效期为[具体期限或终止条件]。</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甲方（签字/盖章）：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乙方（签字/盖章）：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日期：__________</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7FBE5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autoRedefine/>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autoRedefine/>
    <w:unhideWhenUsed/>
    <w:qFormat/>
    <w:uiPriority w:val="99"/>
    <w:pPr>
      <w:tabs>
        <w:tab w:val="center" w:pos="4680"/>
        <w:tab w:val="right" w:pos="9360"/>
      </w:tabs>
      <w:spacing w:after="0" w:line="240" w:lineRule="auto"/>
    </w:pPr>
  </w:style>
  <w:style w:type="paragraph" w:styleId="25">
    <w:name w:val="header"/>
    <w:basedOn w:val="1"/>
    <w:link w:val="136"/>
    <w:autoRedefine/>
    <w:unhideWhenUsed/>
    <w:qFormat/>
    <w:uiPriority w:val="99"/>
    <w:pPr>
      <w:tabs>
        <w:tab w:val="center" w:pos="4680"/>
        <w:tab w:val="right" w:pos="9360"/>
      </w:tabs>
      <w:spacing w:after="0" w:line="240" w:lineRule="auto"/>
    </w:pPr>
  </w:style>
  <w:style w:type="paragraph" w:styleId="26">
    <w:name w:val="Subtitle"/>
    <w:basedOn w:val="1"/>
    <w:next w:val="1"/>
    <w:link w:val="143"/>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autoRedefine/>
    <w:qFormat/>
    <w:uiPriority w:val="99"/>
  </w:style>
  <w:style w:type="character" w:customStyle="1" w:styleId="137">
    <w:name w:val="Footer Char"/>
    <w:basedOn w:val="133"/>
    <w:link w:val="24"/>
    <w:autoRedefine/>
    <w:qFormat/>
    <w:uiPriority w:val="99"/>
  </w:style>
  <w:style w:type="paragraph" w:styleId="138">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autoRedefine/>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E32B417FC132437FBF9D1369B27F4060_12</vt:lpwstr>
  </property>
</Properties>
</file>