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134"/>
          <w:rFonts w:hint="default" w:ascii="Segoe UI" w:hAnsi="Segoe UI" w:eastAsia="Segoe UI" w:cs="Segoe UI"/>
          <w:b/>
          <w:bCs/>
          <w:i w:val="0"/>
          <w:iCs w:val="0"/>
          <w:caps w:val="0"/>
          <w:color w:val="05073B"/>
          <w:spacing w:val="0"/>
          <w:sz w:val="22"/>
          <w:szCs w:val="22"/>
          <w:bdr w:val="none" w:color="auto" w:sz="0" w:space="0"/>
        </w:rPr>
        <w:t>非专利技术转让协议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转让方</w:t>
      </w:r>
      <w:r>
        <w:rPr>
          <w:rFonts w:hint="default" w:ascii="Segoe UI" w:hAnsi="Segoe UI" w:eastAsia="Segoe UI" w:cs="Segoe UI"/>
          <w:i w:val="0"/>
          <w:iCs w:val="0"/>
          <w:caps w:val="0"/>
          <w:color w:val="05073B"/>
          <w:spacing w:val="0"/>
          <w:sz w:val="22"/>
          <w:szCs w:val="22"/>
          <w:bdr w:val="none" w:color="auto" w:sz="0" w:space="0"/>
        </w:rPr>
        <w:t>（以下简称甲方）：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受让方</w:t>
      </w:r>
      <w:r>
        <w:rPr>
          <w:rFonts w:hint="default" w:ascii="Segoe UI" w:hAnsi="Segoe UI" w:eastAsia="Segoe UI" w:cs="Segoe UI"/>
          <w:i w:val="0"/>
          <w:iCs w:val="0"/>
          <w:caps w:val="0"/>
          <w:color w:val="05073B"/>
          <w:spacing w:val="0"/>
          <w:sz w:val="22"/>
          <w:szCs w:val="22"/>
          <w:bdr w:val="none" w:color="auto" w:sz="0" w:space="0"/>
        </w:rPr>
        <w:t>（以下简称乙方）：</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法定代表人</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一、项目名称</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二、非专利技术性能及工业化开发程度</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详细描述该非专利技术的具体性能及其目前的工业化开发程度，包括但不限于技术特点、应用领域、成熟度等。</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三、授权性质</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明确技术转让的授权性质，如独占许可、排他许可或普通许可等。</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四、使用范围</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地域范围：详细列明使用本非专利技术的地域界限。</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期限范围：明确技术转让的有效期限。</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使用方式范围：详细描述技术转让后的使用方式，包括但不限于生产、销售、研发等。</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五、甲方的主要义务</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在本合同生效之日起XX天内，向乙方交付下列技术资料（详细列明资料清单）。</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在合同履行过程中，向乙方提供必要的技术指导和服务。</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保证所转让的技术具有实用性、可靠性，能够达到合同约定的技术经济指标。</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六、乙方的义务</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将甲方转让的非专利技术，按有资质的评估机构所评估价值作为乙方的技术投资。</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严格按照合同约定的范围使用本非专利技术。</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七、保密条款</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双方应对本合同中涉及的技术资料承担保密义务，并约定保密期限和保密责任。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八、后续改进</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在本合同履行期间，双方各自在本转让技术基础上做出的新的发明创造专利权归做出发明创造的一方所有，但另一方有权优先受让和使用该新技术成果。</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九、甲方的违约责任</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甲方逾期XX个月不向乙方提供技术资料及技术指导，乙方有权解除合同，并追究甲方的违约责任。</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甲方违反合同约定的保密义务，泄露技术秘密，乙方有权解除合同，并追究甲方的违约责任。</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十、乙方的违约责任</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乙方逾期XX个月未办理甲方技术入股，甲方有权解除合同，并追究乙方的违约责任。</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乙方擅自超出合同约定的范围使用本非专利技术，应停止违约行为，并支付违约金。</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未经甲方同意，乙方擅自许可第三方使用本非专利技术，应停止违约行为，并支付违约金。</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乙方违反合同约定的保密义务，泄露技术秘密，应返还非法所得，并支付违约金。</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十一、侵权风险责任承担</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甲方应保证自己是本非专利技术的合法所有者。否则，由此引起侵害他人合法权益的，应由甲方承担法律责任。</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在本合同履行中，如出现他人就同一技术申请专利或获得专利的情况，双方应协商处理，并合理分担由此造成的损失。</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十二、争议解决</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双方应首先通过友好协商解决因本合同履行过程中产生的争议；协商不成的，任何一方均有权向人民法院提起诉讼。</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十三、名词和术语的解释</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对合同中的关键名词和术语进行解释和定义，以确保双方对合同条款的理解一致。</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十四、合同生效及其他</w:t>
      </w:r>
      <w:r>
        <w:rPr>
          <w:rFonts w:hint="default" w:ascii="Segoe UI" w:hAnsi="Segoe UI" w:eastAsia="Segoe UI" w:cs="Segoe UI"/>
          <w:i w:val="0"/>
          <w:iCs w:val="0"/>
          <w:caps w:val="0"/>
          <w:color w:val="05073B"/>
          <w:spacing w:val="0"/>
          <w:sz w:val="22"/>
          <w:szCs w:val="22"/>
          <w:bdr w:val="none" w:color="auto" w:sz="0" w:space="0"/>
        </w:rPr>
        <w:t>：</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本合同经双方签字盖章并自公证之日起生效。本合同一式XX份，甲乙双方各执XX份，其余由XX备案。</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乙方（盖章）：</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法定代表人（签字）：</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签订日期：XXXX年XX月XX日</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签订地点：[具体地点]</w:t>
      </w:r>
    </w:p>
    <w:p>
      <w:pPr>
        <w:jc w:val="left"/>
        <w:rPr>
          <w:rFonts w:hint="eastAsia" w:ascii="思源宋体 CN Medium" w:hAnsi="思源宋体 CN Medium" w:eastAsia="思源宋体 CN Medium" w:cs="思源宋体 CN Medium"/>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EAD4C"/>
    <w:multiLevelType w:val="multilevel"/>
    <w:tmpl w:val="A10EAD4C"/>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
    <w:nsid w:val="AE7CE39A"/>
    <w:multiLevelType w:val="multilevel"/>
    <w:tmpl w:val="AE7CE39A"/>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2">
    <w:nsid w:val="DF801112"/>
    <w:multiLevelType w:val="multilevel"/>
    <w:tmpl w:val="DF801112"/>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3D018EE2"/>
    <w:multiLevelType w:val="multilevel"/>
    <w:tmpl w:val="3D018EE2"/>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0">
    <w:nsid w:val="70E2FC1D"/>
    <w:multiLevelType w:val="multilevel"/>
    <w:tmpl w:val="70E2FC1D"/>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abstractNum w:abstractNumId="11">
    <w:nsid w:val="7E2E5292"/>
    <w:multiLevelType w:val="multilevel"/>
    <w:tmpl w:val="7E2E5292"/>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11"/>
  </w:num>
  <w:num w:numId="8">
    <w:abstractNumId w:val="1"/>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37666754"/>
    <w:rsid w:val="39DB2D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6"/>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uiPriority w:val="99"/>
  </w:style>
  <w:style w:type="character" w:customStyle="1" w:styleId="146">
    <w:name w:val="Body Text 2 Char"/>
    <w:basedOn w:val="133"/>
    <w:link w:val="28"/>
    <w:uiPriority w:val="99"/>
  </w:style>
  <w:style w:type="character" w:customStyle="1" w:styleId="147">
    <w:name w:val="Body Text 3 Char"/>
    <w:basedOn w:val="133"/>
    <w:link w:val="17"/>
    <w:uiPriority w:val="99"/>
    <w:rPr>
      <w:sz w:val="16"/>
      <w:szCs w:val="16"/>
    </w:rPr>
  </w:style>
  <w:style w:type="character" w:customStyle="1" w:styleId="148">
    <w:name w:val="Macro Text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uiPriority w:val="29"/>
    <w:rPr>
      <w:i/>
      <w:iCs/>
      <w:color w:val="000000" w:themeColor="text1"/>
      <w14:textFill>
        <w14:solidFill>
          <w14:schemeClr w14:val="tx1"/>
        </w14:solidFill>
      </w14:textFill>
    </w:rPr>
  </w:style>
  <w:style w:type="character" w:customStyle="1" w:styleId="151">
    <w:name w:val="Heading 4 Char"/>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2024-05-08T00:22:23Z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24DAB3B04FAF470183EAF2C1489B6FE0</vt:lpwstr>
  </property>
</Properties>
</file>